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88C48" w14:textId="77777777" w:rsidR="00F06EA8" w:rsidRPr="00F06EA8" w:rsidRDefault="00F06EA8" w:rsidP="00F06EA8">
      <w:pPr>
        <w:widowControl/>
        <w:shd w:val="clear" w:color="auto" w:fill="FFFFFF"/>
        <w:spacing w:line="555" w:lineRule="atLeast"/>
        <w:jc w:val="center"/>
        <w:rPr>
          <w:rFonts w:ascii="Helvetica" w:eastAsia="宋体" w:hAnsi="Helvetica" w:cs="Helvetica"/>
          <w:color w:val="333333"/>
          <w:kern w:val="0"/>
          <w:sz w:val="24"/>
          <w:szCs w:val="24"/>
        </w:rPr>
      </w:pPr>
      <w:bookmarkStart w:id="0" w:name="_GoBack"/>
      <w:r w:rsidRPr="00F06EA8">
        <w:rPr>
          <w:rFonts w:ascii="方正小标宋_GBK" w:eastAsia="方正小标宋_GBK" w:hAnsi="Helvetica" w:cs="Helvetica" w:hint="eastAsia"/>
          <w:color w:val="333333"/>
          <w:kern w:val="0"/>
          <w:sz w:val="44"/>
          <w:szCs w:val="44"/>
        </w:rPr>
        <w:t>青岛市“十四五”能源发展规划</w:t>
      </w:r>
    </w:p>
    <w:bookmarkEnd w:id="0"/>
    <w:p w14:paraId="565A926D" w14:textId="77777777" w:rsidR="00F06EA8" w:rsidRPr="00F06EA8" w:rsidRDefault="00F06EA8" w:rsidP="00F06EA8">
      <w:pPr>
        <w:widowControl/>
        <w:shd w:val="clear" w:color="auto" w:fill="FFFFFF"/>
        <w:spacing w:line="555" w:lineRule="atLeast"/>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 </w:t>
      </w:r>
    </w:p>
    <w:p w14:paraId="6BB04B7E"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为深入落实“碳达峰、碳中和”要求和国家、省能源发展战略，服务构建新发展格局，提高能源安全保障能力，全面推进绿色低碳转型，根据《能源生产和消费革命战略（2016—2030）》《山东省能源发展“十四五”规划》《青岛市国民经济和社会发展第十四个五年规划和2035 年远景目标纲要》，结合我市实际，制定本规划。</w:t>
      </w:r>
    </w:p>
    <w:p w14:paraId="654D1031"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黑体" w:eastAsia="黑体" w:hAnsi="黑体" w:cs="Helvetica" w:hint="eastAsia"/>
          <w:color w:val="333333"/>
          <w:kern w:val="0"/>
          <w:sz w:val="32"/>
          <w:szCs w:val="32"/>
        </w:rPr>
        <w:t>一、发展基础</w:t>
      </w:r>
    </w:p>
    <w:p w14:paraId="58730589"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楷体_GB2312" w:eastAsia="楷体_GB2312" w:hAnsi="Helvetica" w:cs="Helvetica" w:hint="eastAsia"/>
          <w:color w:val="333333"/>
          <w:kern w:val="0"/>
          <w:sz w:val="32"/>
          <w:szCs w:val="32"/>
        </w:rPr>
        <w:t>（一）发展现状。</w:t>
      </w:r>
      <w:r w:rsidRPr="00F06EA8">
        <w:rPr>
          <w:rFonts w:ascii="仿宋_GB2312" w:eastAsia="仿宋_GB2312" w:hAnsi="Helvetica" w:cs="Helvetica" w:hint="eastAsia"/>
          <w:color w:val="333333"/>
          <w:kern w:val="0"/>
          <w:sz w:val="32"/>
          <w:szCs w:val="32"/>
        </w:rPr>
        <w:t>“十三五”以来，我市以供给侧结构性改革为主线，积极应对能源需求稳步增长态势，多</w:t>
      </w:r>
      <w:proofErr w:type="gramStart"/>
      <w:r w:rsidRPr="00F06EA8">
        <w:rPr>
          <w:rFonts w:ascii="仿宋_GB2312" w:eastAsia="仿宋_GB2312" w:hAnsi="Helvetica" w:cs="Helvetica" w:hint="eastAsia"/>
          <w:color w:val="333333"/>
          <w:kern w:val="0"/>
          <w:sz w:val="32"/>
          <w:szCs w:val="32"/>
        </w:rPr>
        <w:t>措</w:t>
      </w:r>
      <w:proofErr w:type="gramEnd"/>
      <w:r w:rsidRPr="00F06EA8">
        <w:rPr>
          <w:rFonts w:ascii="仿宋_GB2312" w:eastAsia="仿宋_GB2312" w:hAnsi="Helvetica" w:cs="Helvetica" w:hint="eastAsia"/>
          <w:color w:val="333333"/>
          <w:kern w:val="0"/>
          <w:sz w:val="32"/>
          <w:szCs w:val="32"/>
        </w:rPr>
        <w:t>并举、攻坚克难，不断拓展能源供给渠道，大力推进能源基础设施建设，着力发展可再生能源，持续优化能源结构，全面强化节能增效，深入实施煤炭消费压减，推动绿色低碳发展，切实提升能源安全保障能力，为经济社会高质量发展提供了有力的能源保障。</w:t>
      </w:r>
    </w:p>
    <w:p w14:paraId="4FA83B86"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1.能源供给保障能力大幅增强。</w:t>
      </w:r>
    </w:p>
    <w:p w14:paraId="04006CF5"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电力基础设施不断完善。本地电源保障能力显著增强，2020年，我市电力总装机622.8万千瓦，较2015年增长208.1万千瓦，增幅50%；总发电量达190.8亿千瓦时，较2015年增长21.5亿千瓦时，增幅12.7%。绿色电力供应能力明显提高，风电、</w:t>
      </w:r>
      <w:proofErr w:type="gramStart"/>
      <w:r w:rsidRPr="00F06EA8">
        <w:rPr>
          <w:rFonts w:ascii="仿宋_GB2312" w:eastAsia="仿宋_GB2312" w:hAnsi="Helvetica" w:cs="Helvetica" w:hint="eastAsia"/>
          <w:color w:val="333333"/>
          <w:kern w:val="0"/>
          <w:sz w:val="32"/>
          <w:szCs w:val="32"/>
        </w:rPr>
        <w:t>光伏和生物质</w:t>
      </w:r>
      <w:proofErr w:type="gramEnd"/>
      <w:r w:rsidRPr="00F06EA8">
        <w:rPr>
          <w:rFonts w:ascii="仿宋_GB2312" w:eastAsia="仿宋_GB2312" w:hAnsi="Helvetica" w:cs="Helvetica" w:hint="eastAsia"/>
          <w:color w:val="333333"/>
          <w:kern w:val="0"/>
          <w:sz w:val="32"/>
          <w:szCs w:val="32"/>
        </w:rPr>
        <w:t>等可再生能源新增装</w:t>
      </w:r>
      <w:r w:rsidRPr="00F06EA8">
        <w:rPr>
          <w:rFonts w:ascii="仿宋_GB2312" w:eastAsia="仿宋_GB2312" w:hAnsi="Helvetica" w:cs="Helvetica" w:hint="eastAsia"/>
          <w:color w:val="333333"/>
          <w:kern w:val="0"/>
          <w:sz w:val="32"/>
          <w:szCs w:val="32"/>
        </w:rPr>
        <w:lastRenderedPageBreak/>
        <w:t>机177.8万千瓦，占新增总装机的85.4%；可再生能源发电量占比大幅提高、燃煤发电量占</w:t>
      </w:r>
      <w:proofErr w:type="gramStart"/>
      <w:r w:rsidRPr="00F06EA8">
        <w:rPr>
          <w:rFonts w:ascii="仿宋_GB2312" w:eastAsia="仿宋_GB2312" w:hAnsi="Helvetica" w:cs="Helvetica" w:hint="eastAsia"/>
          <w:color w:val="333333"/>
          <w:kern w:val="0"/>
          <w:sz w:val="32"/>
          <w:szCs w:val="32"/>
        </w:rPr>
        <w:t>比持续</w:t>
      </w:r>
      <w:proofErr w:type="gramEnd"/>
      <w:r w:rsidRPr="00F06EA8">
        <w:rPr>
          <w:rFonts w:ascii="仿宋_GB2312" w:eastAsia="仿宋_GB2312" w:hAnsi="Helvetica" w:cs="Helvetica" w:hint="eastAsia"/>
          <w:color w:val="333333"/>
          <w:kern w:val="0"/>
          <w:sz w:val="32"/>
          <w:szCs w:val="32"/>
        </w:rPr>
        <w:t>下降，2020年可再生能源发电量占比23.4%，较2015年提高16.7个百分点；燃煤发电量占比66%，较2015年降低23.4个百分点。本地可再生能源发电消纳和外电接纳能力明显提升，城市电网输</w:t>
      </w:r>
      <w:proofErr w:type="gramStart"/>
      <w:r w:rsidRPr="00F06EA8">
        <w:rPr>
          <w:rFonts w:ascii="仿宋_GB2312" w:eastAsia="仿宋_GB2312" w:hAnsi="Helvetica" w:cs="Helvetica" w:hint="eastAsia"/>
          <w:color w:val="333333"/>
          <w:kern w:val="0"/>
          <w:sz w:val="32"/>
          <w:szCs w:val="32"/>
        </w:rPr>
        <w:t>配能力</w:t>
      </w:r>
      <w:proofErr w:type="gramEnd"/>
      <w:r w:rsidRPr="00F06EA8">
        <w:rPr>
          <w:rFonts w:ascii="仿宋_GB2312" w:eastAsia="仿宋_GB2312" w:hAnsi="Helvetica" w:cs="Helvetica" w:hint="eastAsia"/>
          <w:color w:val="333333"/>
          <w:kern w:val="0"/>
          <w:sz w:val="32"/>
          <w:szCs w:val="32"/>
        </w:rPr>
        <w:t>进一步增强，新增变电站117座，新增变电容量779.1万千伏安，10千伏线路联络率提升至100%，较2015年提高31.4个百分点。</w:t>
      </w:r>
    </w:p>
    <w:p w14:paraId="1F60AE59"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天然气保障能力显著提高。液化天然气（LNG）接卸能力大幅提升，山东LNG项目一期接收站建成投产，天然气接卸能力600万吨/年，二期建设正在有序推进，三期接收站通过核准。天然气管网日益完善，多主体参与、多渠道供给的多元化天然气供应格局基本形成，中石化山东LNG、中石油泰青威管道和中海油渤海气田等主要气源总供应量达19.6亿立方米，较2015年增长60%。</w:t>
      </w:r>
    </w:p>
    <w:p w14:paraId="5B0D60C6"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油品供应能力更加充足。油品供应体系不断健全，原油进口渠道不断拓宽，2020年全市原油供应量达到1343万吨，实现稳态增长；成品油供应形成以青岛石化为主，烟台中油石油储运、山东中油胜利等为补充的多元化供应体系。油品接卸能力大幅提升，青岛港建成大型原油码头泊位5座，2020年油品年通过能力达1.3亿吨，原油吞吐量1.19亿吨，成为省内第一、国内第二的原油大港。管道输</w:t>
      </w:r>
      <w:r w:rsidRPr="00F06EA8">
        <w:rPr>
          <w:rFonts w:ascii="仿宋_GB2312" w:eastAsia="仿宋_GB2312" w:hAnsi="Helvetica" w:cs="Helvetica" w:hint="eastAsia"/>
          <w:color w:val="333333"/>
          <w:kern w:val="0"/>
          <w:sz w:val="32"/>
          <w:szCs w:val="32"/>
        </w:rPr>
        <w:lastRenderedPageBreak/>
        <w:t>送能力不断提高，建成运营原油管道里程380公里、管</w:t>
      </w:r>
      <w:proofErr w:type="gramStart"/>
      <w:r w:rsidRPr="00F06EA8">
        <w:rPr>
          <w:rFonts w:ascii="仿宋_GB2312" w:eastAsia="仿宋_GB2312" w:hAnsi="Helvetica" w:cs="Helvetica" w:hint="eastAsia"/>
          <w:color w:val="333333"/>
          <w:kern w:val="0"/>
          <w:sz w:val="32"/>
          <w:szCs w:val="32"/>
        </w:rPr>
        <w:t>输能力</w:t>
      </w:r>
      <w:proofErr w:type="gramEnd"/>
      <w:r w:rsidRPr="00F06EA8">
        <w:rPr>
          <w:rFonts w:ascii="仿宋_GB2312" w:eastAsia="仿宋_GB2312" w:hAnsi="Helvetica" w:cs="Helvetica" w:hint="eastAsia"/>
          <w:color w:val="333333"/>
          <w:kern w:val="0"/>
          <w:sz w:val="32"/>
          <w:szCs w:val="32"/>
        </w:rPr>
        <w:t>7200万吨/年，运营成品油管道里程140公里、管</w:t>
      </w:r>
      <w:proofErr w:type="gramStart"/>
      <w:r w:rsidRPr="00F06EA8">
        <w:rPr>
          <w:rFonts w:ascii="仿宋_GB2312" w:eastAsia="仿宋_GB2312" w:hAnsi="Helvetica" w:cs="Helvetica" w:hint="eastAsia"/>
          <w:color w:val="333333"/>
          <w:kern w:val="0"/>
          <w:sz w:val="32"/>
          <w:szCs w:val="32"/>
        </w:rPr>
        <w:t>输能力</w:t>
      </w:r>
      <w:proofErr w:type="gramEnd"/>
      <w:r w:rsidRPr="00F06EA8">
        <w:rPr>
          <w:rFonts w:ascii="仿宋_GB2312" w:eastAsia="仿宋_GB2312" w:hAnsi="Helvetica" w:cs="Helvetica" w:hint="eastAsia"/>
          <w:color w:val="333333"/>
          <w:kern w:val="0"/>
          <w:sz w:val="32"/>
          <w:szCs w:val="32"/>
        </w:rPr>
        <w:t>1300万吨/年。油品仓储能力稳步提升，建成商储原油库区4处，库容合计580万立方米，较2015年新增200万立方米。</w:t>
      </w:r>
    </w:p>
    <w:p w14:paraId="2B4680F8"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2.能源结构调整步伐明显加快。2020年，我市煤炭、油品、天然气、电力 消费占能源消费总量比重由2015年的41.7%、36.1%、5.7%、16.5%优化到28.8%、31.4%、8.6%、29.2%。其中，煤炭消费由2015年的1486万吨下降到2020年的1307万吨，占比下降12.9个百分点，较国家、省分别低28、38个百分点；油品消费稳步下降，天然气消费稳步上升，电力消费快速增长。电力消费中煤电电量、清洁能源电量、市外电量占全社会用电量的比重由44.2%、5.3%、50.5%优化到26.4%、13.6%、60.0%，清洁能源消费比重不断提高，能源消费结构持续优化。</w:t>
      </w:r>
    </w:p>
    <w:p w14:paraId="4ACE794B"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3.可再生能源利用规模快速增长。2020年，我市风电、</w:t>
      </w:r>
      <w:proofErr w:type="gramStart"/>
      <w:r w:rsidRPr="00F06EA8">
        <w:rPr>
          <w:rFonts w:ascii="仿宋_GB2312" w:eastAsia="仿宋_GB2312" w:hAnsi="Helvetica" w:cs="Helvetica" w:hint="eastAsia"/>
          <w:color w:val="333333"/>
          <w:kern w:val="0"/>
          <w:sz w:val="32"/>
          <w:szCs w:val="32"/>
        </w:rPr>
        <w:t>光伏和生物质</w:t>
      </w:r>
      <w:proofErr w:type="gramEnd"/>
      <w:r w:rsidRPr="00F06EA8">
        <w:rPr>
          <w:rFonts w:ascii="仿宋_GB2312" w:eastAsia="仿宋_GB2312" w:hAnsi="Helvetica" w:cs="Helvetica" w:hint="eastAsia"/>
          <w:color w:val="333333"/>
          <w:kern w:val="0"/>
          <w:sz w:val="32"/>
          <w:szCs w:val="32"/>
        </w:rPr>
        <w:t>等可再生能源总装机253.2万千瓦、较2015年增长2.4倍，可再生能源发电量44.65亿千瓦时、较2015年增长近3倍，占总发电量比重由6.7%提升至23.4%。其中，风</w:t>
      </w:r>
      <w:proofErr w:type="gramStart"/>
      <w:r w:rsidRPr="00F06EA8">
        <w:rPr>
          <w:rFonts w:ascii="仿宋_GB2312" w:eastAsia="仿宋_GB2312" w:hAnsi="Helvetica" w:cs="Helvetica" w:hint="eastAsia"/>
          <w:color w:val="333333"/>
          <w:kern w:val="0"/>
          <w:sz w:val="32"/>
          <w:szCs w:val="32"/>
        </w:rPr>
        <w:t>电领域</w:t>
      </w:r>
      <w:proofErr w:type="gramEnd"/>
      <w:r w:rsidRPr="00F06EA8">
        <w:rPr>
          <w:rFonts w:ascii="仿宋_GB2312" w:eastAsia="仿宋_GB2312" w:hAnsi="Helvetica" w:cs="Helvetica" w:hint="eastAsia"/>
          <w:color w:val="333333"/>
          <w:kern w:val="0"/>
          <w:sz w:val="32"/>
          <w:szCs w:val="32"/>
        </w:rPr>
        <w:t>建成大唐（青岛）风电场、华润新能源胶州风电场等项目，总装机114.38万千瓦、较2015年增长近2倍，发电量17.72亿千瓦时、占总发电量</w:t>
      </w:r>
      <w:r w:rsidRPr="00F06EA8">
        <w:rPr>
          <w:rFonts w:ascii="仿宋_GB2312" w:eastAsia="仿宋_GB2312" w:hAnsi="Helvetica" w:cs="Helvetica" w:hint="eastAsia"/>
          <w:color w:val="333333"/>
          <w:kern w:val="0"/>
          <w:sz w:val="32"/>
          <w:szCs w:val="32"/>
        </w:rPr>
        <w:lastRenderedPageBreak/>
        <w:t>9.3%。光</w:t>
      </w:r>
      <w:proofErr w:type="gramStart"/>
      <w:r w:rsidRPr="00F06EA8">
        <w:rPr>
          <w:rFonts w:ascii="仿宋_GB2312" w:eastAsia="仿宋_GB2312" w:hAnsi="Helvetica" w:cs="Helvetica" w:hint="eastAsia"/>
          <w:color w:val="333333"/>
          <w:kern w:val="0"/>
          <w:sz w:val="32"/>
          <w:szCs w:val="32"/>
        </w:rPr>
        <w:t>伏领域</w:t>
      </w:r>
      <w:proofErr w:type="gramEnd"/>
      <w:r w:rsidRPr="00F06EA8">
        <w:rPr>
          <w:rFonts w:ascii="仿宋_GB2312" w:eastAsia="仿宋_GB2312" w:hAnsi="Helvetica" w:cs="Helvetica" w:hint="eastAsia"/>
          <w:color w:val="333333"/>
          <w:kern w:val="0"/>
          <w:sz w:val="32"/>
          <w:szCs w:val="32"/>
        </w:rPr>
        <w:t>建成即墨太阳能小镇农业</w:t>
      </w:r>
      <w:proofErr w:type="gramStart"/>
      <w:r w:rsidRPr="00F06EA8">
        <w:rPr>
          <w:rFonts w:ascii="仿宋_GB2312" w:eastAsia="仿宋_GB2312" w:hAnsi="Helvetica" w:cs="Helvetica" w:hint="eastAsia"/>
          <w:color w:val="333333"/>
          <w:kern w:val="0"/>
          <w:sz w:val="32"/>
          <w:szCs w:val="32"/>
        </w:rPr>
        <w:t>科技大棚光伏</w:t>
      </w:r>
      <w:proofErr w:type="gramEnd"/>
      <w:r w:rsidRPr="00F06EA8">
        <w:rPr>
          <w:rFonts w:ascii="仿宋_GB2312" w:eastAsia="仿宋_GB2312" w:hAnsi="Helvetica" w:cs="Helvetica" w:hint="eastAsia"/>
          <w:color w:val="333333"/>
          <w:kern w:val="0"/>
          <w:sz w:val="32"/>
          <w:szCs w:val="32"/>
        </w:rPr>
        <w:t>电站、中节能普东农业</w:t>
      </w:r>
      <w:proofErr w:type="gramStart"/>
      <w:r w:rsidRPr="00F06EA8">
        <w:rPr>
          <w:rFonts w:ascii="仿宋_GB2312" w:eastAsia="仿宋_GB2312" w:hAnsi="Helvetica" w:cs="Helvetica" w:hint="eastAsia"/>
          <w:color w:val="333333"/>
          <w:kern w:val="0"/>
          <w:sz w:val="32"/>
          <w:szCs w:val="32"/>
        </w:rPr>
        <w:t>科技大棚光伏</w:t>
      </w:r>
      <w:proofErr w:type="gramEnd"/>
      <w:r w:rsidRPr="00F06EA8">
        <w:rPr>
          <w:rFonts w:ascii="仿宋_GB2312" w:eastAsia="仿宋_GB2312" w:hAnsi="Helvetica" w:cs="Helvetica" w:hint="eastAsia"/>
          <w:color w:val="333333"/>
          <w:kern w:val="0"/>
          <w:sz w:val="32"/>
          <w:szCs w:val="32"/>
        </w:rPr>
        <w:t>电站等项目，总装机100.16万千瓦、较2015年增长3.5倍，发电量8.57亿千瓦时、占总发电量4.5%。生物质能领域建成恒源热电生物质能源热电联产、小涧西生活垃圾焚烧发电等项目，总装机38.7万千瓦、较2015年增长近10倍，发电量18.36亿千瓦时、占总发电量9.6%。非水电可再生能源电力消纳总量约56.24亿千瓦时，消纳权重达11.8%，超额完成省下达的11%</w:t>
      </w:r>
      <w:proofErr w:type="gramStart"/>
      <w:r w:rsidRPr="00F06EA8">
        <w:rPr>
          <w:rFonts w:ascii="仿宋_GB2312" w:eastAsia="仿宋_GB2312" w:hAnsi="Helvetica" w:cs="Helvetica" w:hint="eastAsia"/>
          <w:color w:val="333333"/>
          <w:kern w:val="0"/>
          <w:sz w:val="32"/>
          <w:szCs w:val="32"/>
        </w:rPr>
        <w:t>激励性消纳</w:t>
      </w:r>
      <w:proofErr w:type="gramEnd"/>
      <w:r w:rsidRPr="00F06EA8">
        <w:rPr>
          <w:rFonts w:ascii="仿宋_GB2312" w:eastAsia="仿宋_GB2312" w:hAnsi="Helvetica" w:cs="Helvetica" w:hint="eastAsia"/>
          <w:color w:val="333333"/>
          <w:kern w:val="0"/>
          <w:sz w:val="32"/>
          <w:szCs w:val="32"/>
        </w:rPr>
        <w:t>目标。</w:t>
      </w:r>
    </w:p>
    <w:p w14:paraId="6E100BDC"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4.重点领域节能减排扎实推进。2020年，我市能源消费增量完成省下达的“十三五”期间286万吨标准煤的控制目标。单位地区生产总值能耗为0.27吨标准煤/万元，较2015年降低21.5%，完成省下达的降低16%的控制目标。</w:t>
      </w:r>
    </w:p>
    <w:p w14:paraId="78A3DA0D"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工业领域，2020年规模以上工业企业能源消费1366.9万吨标准煤，较2015年下降7.9%；规模以上企业单位工业增加值能耗0.3783吨标准煤/万元，较2015年下降27%。建筑领域，新建民用建筑100%执行绿色建筑标准，建成绿色建筑面积5734万平方米，实施星级绿色建筑标识面积1292万平方米，完成居住建筑节能改造2447万平方米、既有公共建筑节能改造647万平方米。交通领域，城市公交车、出租车气（电）化率分别达到93%和73.9%，建成换电</w:t>
      </w:r>
      <w:r w:rsidRPr="00F06EA8">
        <w:rPr>
          <w:rFonts w:ascii="仿宋_GB2312" w:eastAsia="仿宋_GB2312" w:hAnsi="Helvetica" w:cs="Helvetica" w:hint="eastAsia"/>
          <w:color w:val="333333"/>
          <w:kern w:val="0"/>
          <w:sz w:val="32"/>
          <w:szCs w:val="32"/>
        </w:rPr>
        <w:lastRenderedPageBreak/>
        <w:t>站9座、充电站1122座、充电桩2万台，</w:t>
      </w:r>
      <w:proofErr w:type="gramStart"/>
      <w:r w:rsidRPr="00F06EA8">
        <w:rPr>
          <w:rFonts w:ascii="仿宋_GB2312" w:eastAsia="仿宋_GB2312" w:hAnsi="Helvetica" w:cs="Helvetica" w:hint="eastAsia"/>
          <w:color w:val="333333"/>
          <w:kern w:val="0"/>
          <w:sz w:val="32"/>
          <w:szCs w:val="32"/>
        </w:rPr>
        <w:t>车桩比达</w:t>
      </w:r>
      <w:proofErr w:type="gramEnd"/>
      <w:r w:rsidRPr="00F06EA8">
        <w:rPr>
          <w:rFonts w:ascii="仿宋_GB2312" w:eastAsia="仿宋_GB2312" w:hAnsi="Helvetica" w:cs="Helvetica" w:hint="eastAsia"/>
          <w:color w:val="333333"/>
          <w:kern w:val="0"/>
          <w:sz w:val="32"/>
          <w:szCs w:val="32"/>
        </w:rPr>
        <w:t>3.8:1，市区基本建成2公里服务半径的公共充电服务网络，核心区基本建成1公里服务半径的公共快</w:t>
      </w:r>
      <w:proofErr w:type="gramStart"/>
      <w:r w:rsidRPr="00F06EA8">
        <w:rPr>
          <w:rFonts w:ascii="仿宋_GB2312" w:eastAsia="仿宋_GB2312" w:hAnsi="Helvetica" w:cs="Helvetica" w:hint="eastAsia"/>
          <w:color w:val="333333"/>
          <w:kern w:val="0"/>
          <w:sz w:val="32"/>
          <w:szCs w:val="32"/>
        </w:rPr>
        <w:t>充服务</w:t>
      </w:r>
      <w:proofErr w:type="gramEnd"/>
      <w:r w:rsidRPr="00F06EA8">
        <w:rPr>
          <w:rFonts w:ascii="仿宋_GB2312" w:eastAsia="仿宋_GB2312" w:hAnsi="Helvetica" w:cs="Helvetica" w:hint="eastAsia"/>
          <w:color w:val="333333"/>
          <w:kern w:val="0"/>
          <w:sz w:val="32"/>
          <w:szCs w:val="32"/>
        </w:rPr>
        <w:t>网络。公共机构领域，与2015年相比，公共机构人均综合能耗下降31.18%，单位建筑面积能耗下降22.3%，人均用水量下降15.97%，完成“十三五”公共机构节能目标任务。</w:t>
      </w:r>
    </w:p>
    <w:p w14:paraId="40F10A8D"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5.能源技术装备水平稳步提高。国内首列氢能有轨电车研发成功，全国首条5G氢燃料公交车示范线投入运营，氢能与燃料电池系统关键零部件制造、加氢站用压缩机制造等项目纳入我省氢能产业重大示范试点，初步构建集汽车、港口码头等于一体的氢能应用全场景示范，氢能产业发展潜力凸显。能源互联网模式下的新模式、新业</w:t>
      </w:r>
      <w:proofErr w:type="gramStart"/>
      <w:r w:rsidRPr="00F06EA8">
        <w:rPr>
          <w:rFonts w:ascii="仿宋_GB2312" w:eastAsia="仿宋_GB2312" w:hAnsi="Helvetica" w:cs="Helvetica" w:hint="eastAsia"/>
          <w:color w:val="333333"/>
          <w:kern w:val="0"/>
          <w:sz w:val="32"/>
          <w:szCs w:val="32"/>
        </w:rPr>
        <w:t>态不断</w:t>
      </w:r>
      <w:proofErr w:type="gramEnd"/>
      <w:r w:rsidRPr="00F06EA8">
        <w:rPr>
          <w:rFonts w:ascii="仿宋_GB2312" w:eastAsia="仿宋_GB2312" w:hAnsi="Helvetica" w:cs="Helvetica" w:hint="eastAsia"/>
          <w:color w:val="333333"/>
          <w:kern w:val="0"/>
          <w:sz w:val="32"/>
          <w:szCs w:val="32"/>
        </w:rPr>
        <w:t>涌现，建成全国首个“全物联网化”配电示范台区—</w:t>
      </w:r>
      <w:proofErr w:type="gramStart"/>
      <w:r w:rsidRPr="00F06EA8">
        <w:rPr>
          <w:rFonts w:ascii="仿宋_GB2312" w:eastAsia="仿宋_GB2312" w:hAnsi="Helvetica" w:cs="Helvetica" w:hint="eastAsia"/>
          <w:color w:val="333333"/>
          <w:kern w:val="0"/>
          <w:sz w:val="32"/>
          <w:szCs w:val="32"/>
        </w:rPr>
        <w:t>古镇口哈工程</w:t>
      </w:r>
      <w:proofErr w:type="gramEnd"/>
      <w:r w:rsidRPr="00F06EA8">
        <w:rPr>
          <w:rFonts w:ascii="仿宋_GB2312" w:eastAsia="仿宋_GB2312" w:hAnsi="Helvetica" w:cs="Helvetica" w:hint="eastAsia"/>
          <w:color w:val="333333"/>
          <w:kern w:val="0"/>
          <w:sz w:val="32"/>
          <w:szCs w:val="32"/>
        </w:rPr>
        <w:t>人才公寓物联网配电工程。</w:t>
      </w:r>
    </w:p>
    <w:p w14:paraId="7A2E975D" w14:textId="77777777" w:rsidR="00F06EA8" w:rsidRPr="00F06EA8" w:rsidRDefault="00F06EA8" w:rsidP="00F06EA8">
      <w:pPr>
        <w:widowControl/>
        <w:shd w:val="clear" w:color="auto" w:fill="FFFFFF"/>
        <w:spacing w:before="150" w:line="555" w:lineRule="atLeast"/>
        <w:jc w:val="center"/>
        <w:rPr>
          <w:rFonts w:ascii="Helvetica" w:eastAsia="宋体" w:hAnsi="Helvetica" w:cs="Helvetica"/>
          <w:color w:val="333333"/>
          <w:kern w:val="0"/>
          <w:sz w:val="24"/>
          <w:szCs w:val="24"/>
        </w:rPr>
      </w:pPr>
      <w:r w:rsidRPr="00F06EA8">
        <w:rPr>
          <w:rFonts w:ascii="黑体" w:eastAsia="黑体" w:hAnsi="黑体" w:cs="Helvetica" w:hint="eastAsia"/>
          <w:color w:val="333333"/>
          <w:kern w:val="0"/>
          <w:sz w:val="30"/>
          <w:szCs w:val="30"/>
        </w:rPr>
        <w:t>表1</w:t>
      </w:r>
      <w:r w:rsidRPr="00F06EA8">
        <w:rPr>
          <w:rFonts w:ascii="Calibri" w:eastAsia="黑体" w:hAnsi="Calibri" w:cs="Calibri"/>
          <w:color w:val="333333"/>
          <w:kern w:val="0"/>
          <w:sz w:val="30"/>
          <w:szCs w:val="30"/>
        </w:rPr>
        <w:t> </w:t>
      </w:r>
      <w:r w:rsidRPr="00F06EA8">
        <w:rPr>
          <w:rFonts w:ascii="黑体" w:eastAsia="黑体" w:hAnsi="黑体" w:cs="Helvetica" w:hint="eastAsia"/>
          <w:color w:val="333333"/>
          <w:kern w:val="0"/>
          <w:sz w:val="30"/>
          <w:szCs w:val="30"/>
        </w:rPr>
        <w:t xml:space="preserve"> 青岛市“十三五”能源发展情况</w:t>
      </w:r>
    </w:p>
    <w:tbl>
      <w:tblPr>
        <w:tblW w:w="4750" w:type="pct"/>
        <w:shd w:val="clear" w:color="auto" w:fill="FFFFFF"/>
        <w:tblCellMar>
          <w:left w:w="0" w:type="dxa"/>
          <w:right w:w="0" w:type="dxa"/>
        </w:tblCellMar>
        <w:tblLook w:val="04A0" w:firstRow="1" w:lastRow="0" w:firstColumn="1" w:lastColumn="0" w:noHBand="0" w:noVBand="1"/>
      </w:tblPr>
      <w:tblGrid>
        <w:gridCol w:w="942"/>
        <w:gridCol w:w="942"/>
        <w:gridCol w:w="942"/>
        <w:gridCol w:w="943"/>
        <w:gridCol w:w="943"/>
        <w:gridCol w:w="943"/>
        <w:gridCol w:w="943"/>
        <w:gridCol w:w="1278"/>
      </w:tblGrid>
      <w:tr w:rsidR="00F06EA8" w:rsidRPr="00F06EA8" w14:paraId="217DB105" w14:textId="77777777" w:rsidTr="00F06EA8">
        <w:trPr>
          <w:trHeight w:val="405"/>
          <w:tblHeader/>
        </w:trPr>
        <w:tc>
          <w:tcPr>
            <w:tcW w:w="165" w:type="dxa"/>
            <w:gridSpan w:val="2"/>
            <w:tcBorders>
              <w:top w:val="single" w:sz="6" w:space="0" w:color="auto"/>
              <w:left w:val="single" w:sz="6" w:space="0" w:color="auto"/>
              <w:bottom w:val="single" w:sz="6" w:space="0" w:color="auto"/>
              <w:right w:val="single" w:sz="6" w:space="0" w:color="auto"/>
            </w:tcBorders>
            <w:shd w:val="clear" w:color="auto" w:fill="D9D9D9"/>
            <w:tcMar>
              <w:top w:w="0" w:type="dxa"/>
              <w:left w:w="105" w:type="dxa"/>
              <w:bottom w:w="0" w:type="dxa"/>
              <w:right w:w="105" w:type="dxa"/>
            </w:tcMar>
            <w:vAlign w:val="center"/>
            <w:hideMark/>
          </w:tcPr>
          <w:p w14:paraId="6871CA50"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分类</w:t>
            </w:r>
          </w:p>
        </w:tc>
        <w:tc>
          <w:tcPr>
            <w:tcW w:w="120" w:type="dxa"/>
            <w:tcBorders>
              <w:top w:val="single" w:sz="6" w:space="0" w:color="auto"/>
              <w:left w:val="nil"/>
              <w:bottom w:val="single" w:sz="6" w:space="0" w:color="auto"/>
              <w:right w:val="single" w:sz="6" w:space="0" w:color="auto"/>
            </w:tcBorders>
            <w:shd w:val="clear" w:color="auto" w:fill="D9D9D9"/>
            <w:tcMar>
              <w:top w:w="0" w:type="dxa"/>
              <w:left w:w="105" w:type="dxa"/>
              <w:bottom w:w="0" w:type="dxa"/>
              <w:right w:w="105" w:type="dxa"/>
            </w:tcMar>
            <w:vAlign w:val="center"/>
            <w:hideMark/>
          </w:tcPr>
          <w:p w14:paraId="706B3EE5"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序号</w:t>
            </w:r>
          </w:p>
        </w:tc>
        <w:tc>
          <w:tcPr>
            <w:tcW w:w="390" w:type="dxa"/>
            <w:tcBorders>
              <w:top w:val="single" w:sz="6" w:space="0" w:color="auto"/>
              <w:left w:val="nil"/>
              <w:bottom w:val="single" w:sz="6" w:space="0" w:color="auto"/>
              <w:right w:val="single" w:sz="6" w:space="0" w:color="auto"/>
            </w:tcBorders>
            <w:shd w:val="clear" w:color="auto" w:fill="D9D9D9"/>
            <w:tcMar>
              <w:top w:w="0" w:type="dxa"/>
              <w:left w:w="105" w:type="dxa"/>
              <w:bottom w:w="0" w:type="dxa"/>
              <w:right w:w="105" w:type="dxa"/>
            </w:tcMar>
            <w:vAlign w:val="center"/>
            <w:hideMark/>
          </w:tcPr>
          <w:p w14:paraId="5D58BD3E"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指标</w:t>
            </w:r>
          </w:p>
        </w:tc>
        <w:tc>
          <w:tcPr>
            <w:tcW w:w="195" w:type="dxa"/>
            <w:tcBorders>
              <w:top w:val="single" w:sz="6" w:space="0" w:color="auto"/>
              <w:left w:val="nil"/>
              <w:bottom w:val="single" w:sz="6" w:space="0" w:color="auto"/>
              <w:right w:val="single" w:sz="6" w:space="0" w:color="auto"/>
            </w:tcBorders>
            <w:shd w:val="clear" w:color="auto" w:fill="D9D9D9"/>
            <w:tcMar>
              <w:top w:w="0" w:type="dxa"/>
              <w:left w:w="105" w:type="dxa"/>
              <w:bottom w:w="0" w:type="dxa"/>
              <w:right w:w="105" w:type="dxa"/>
            </w:tcMar>
            <w:vAlign w:val="center"/>
            <w:hideMark/>
          </w:tcPr>
          <w:p w14:paraId="3060DCA6"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单位</w:t>
            </w:r>
          </w:p>
        </w:tc>
        <w:tc>
          <w:tcPr>
            <w:tcW w:w="195" w:type="dxa"/>
            <w:tcBorders>
              <w:top w:val="single" w:sz="6" w:space="0" w:color="auto"/>
              <w:left w:val="nil"/>
              <w:bottom w:val="single" w:sz="6" w:space="0" w:color="auto"/>
              <w:right w:val="single" w:sz="6" w:space="0" w:color="auto"/>
            </w:tcBorders>
            <w:shd w:val="clear" w:color="auto" w:fill="D9D9D9"/>
            <w:tcMar>
              <w:top w:w="0" w:type="dxa"/>
              <w:left w:w="105" w:type="dxa"/>
              <w:bottom w:w="0" w:type="dxa"/>
              <w:right w:w="105" w:type="dxa"/>
            </w:tcMar>
            <w:vAlign w:val="center"/>
            <w:hideMark/>
          </w:tcPr>
          <w:p w14:paraId="0EFDA014"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2015</w:t>
            </w:r>
            <w:r w:rsidRPr="00F06EA8">
              <w:rPr>
                <w:rFonts w:ascii="仿宋_GB2312" w:eastAsia="仿宋_GB2312" w:hAnsi="inherit" w:cs="Helvetica" w:hint="eastAsia"/>
                <w:color w:val="333333"/>
                <w:kern w:val="0"/>
                <w:sz w:val="24"/>
                <w:szCs w:val="24"/>
              </w:rPr>
              <w:t>年</w:t>
            </w:r>
          </w:p>
        </w:tc>
        <w:tc>
          <w:tcPr>
            <w:tcW w:w="180" w:type="dxa"/>
            <w:tcBorders>
              <w:top w:val="single" w:sz="6" w:space="0" w:color="auto"/>
              <w:left w:val="nil"/>
              <w:bottom w:val="single" w:sz="6" w:space="0" w:color="auto"/>
              <w:right w:val="single" w:sz="6" w:space="0" w:color="auto"/>
            </w:tcBorders>
            <w:shd w:val="clear" w:color="auto" w:fill="D9D9D9"/>
            <w:tcMar>
              <w:top w:w="0" w:type="dxa"/>
              <w:left w:w="105" w:type="dxa"/>
              <w:bottom w:w="0" w:type="dxa"/>
              <w:right w:w="105" w:type="dxa"/>
            </w:tcMar>
            <w:vAlign w:val="center"/>
            <w:hideMark/>
          </w:tcPr>
          <w:p w14:paraId="32F2D597"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2020</w:t>
            </w:r>
            <w:r w:rsidRPr="00F06EA8">
              <w:rPr>
                <w:rFonts w:ascii="仿宋_GB2312" w:eastAsia="仿宋_GB2312" w:hAnsi="inherit" w:cs="Helvetica" w:hint="eastAsia"/>
                <w:color w:val="333333"/>
                <w:kern w:val="0"/>
                <w:sz w:val="24"/>
                <w:szCs w:val="24"/>
              </w:rPr>
              <w:t>年</w:t>
            </w:r>
          </w:p>
        </w:tc>
        <w:tc>
          <w:tcPr>
            <w:tcW w:w="210" w:type="dxa"/>
            <w:tcBorders>
              <w:top w:val="single" w:sz="6" w:space="0" w:color="auto"/>
              <w:left w:val="nil"/>
              <w:bottom w:val="single" w:sz="6" w:space="0" w:color="auto"/>
              <w:right w:val="single" w:sz="6" w:space="0" w:color="auto"/>
            </w:tcBorders>
            <w:shd w:val="clear" w:color="auto" w:fill="D9D9D9"/>
            <w:tcMar>
              <w:top w:w="0" w:type="dxa"/>
              <w:left w:w="105" w:type="dxa"/>
              <w:bottom w:w="0" w:type="dxa"/>
              <w:right w:w="105" w:type="dxa"/>
            </w:tcMar>
            <w:vAlign w:val="center"/>
            <w:hideMark/>
          </w:tcPr>
          <w:p w14:paraId="28F8CFC8" w14:textId="77777777" w:rsidR="00F06EA8" w:rsidRPr="00F06EA8" w:rsidRDefault="00F06EA8" w:rsidP="00F06EA8">
            <w:pPr>
              <w:widowControl/>
              <w:wordWrap w:val="0"/>
              <w:spacing w:line="36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年均</w:t>
            </w:r>
          </w:p>
          <w:p w14:paraId="6C4801E5" w14:textId="77777777" w:rsidR="00F06EA8" w:rsidRPr="00F06EA8" w:rsidRDefault="00F06EA8" w:rsidP="00F06EA8">
            <w:pPr>
              <w:widowControl/>
              <w:wordWrap w:val="0"/>
              <w:spacing w:line="36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增长</w:t>
            </w:r>
          </w:p>
        </w:tc>
      </w:tr>
      <w:tr w:rsidR="00F06EA8" w:rsidRPr="00F06EA8" w14:paraId="75FB2C74" w14:textId="77777777" w:rsidTr="00F06EA8">
        <w:trPr>
          <w:trHeight w:val="660"/>
        </w:trPr>
        <w:tc>
          <w:tcPr>
            <w:tcW w:w="165" w:type="dxa"/>
            <w:gridSpan w:val="2"/>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DFCC5FC"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总量</w:t>
            </w:r>
          </w:p>
          <w:p w14:paraId="15444518"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调控</w:t>
            </w:r>
          </w:p>
        </w:tc>
        <w:tc>
          <w:tcPr>
            <w:tcW w:w="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71B5699"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w:t>
            </w:r>
          </w:p>
        </w:tc>
        <w:tc>
          <w:tcPr>
            <w:tcW w:w="3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ED62437"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能源消费总量</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8383CE8" w14:textId="77777777" w:rsidR="00F06EA8" w:rsidRPr="00F06EA8" w:rsidRDefault="00F06EA8" w:rsidP="00F06EA8">
            <w:pPr>
              <w:widowControl/>
              <w:wordWrap w:val="0"/>
              <w:spacing w:line="40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万吨</w:t>
            </w:r>
          </w:p>
          <w:p w14:paraId="10854B8E" w14:textId="77777777" w:rsidR="00F06EA8" w:rsidRPr="00F06EA8" w:rsidRDefault="00F06EA8" w:rsidP="00F06EA8">
            <w:pPr>
              <w:widowControl/>
              <w:wordWrap w:val="0"/>
              <w:spacing w:line="40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标准煤</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4B02DB2"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2970.5</w:t>
            </w:r>
          </w:p>
        </w:tc>
        <w:tc>
          <w:tcPr>
            <w:tcW w:w="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5D5FED2"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3187</w:t>
            </w:r>
            <w:r w:rsidRPr="00F06EA8">
              <w:rPr>
                <w:rFonts w:ascii="Times New Roman" w:eastAsia="宋体" w:hAnsi="Times New Roman" w:cs="Times New Roman"/>
                <w:color w:val="333333"/>
                <w:kern w:val="0"/>
                <w:sz w:val="24"/>
                <w:szCs w:val="24"/>
                <w:vertAlign w:val="superscript"/>
              </w:rPr>
              <w:t>*</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D9DB37B"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1.42%</w:t>
            </w:r>
          </w:p>
        </w:tc>
      </w:tr>
      <w:tr w:rsidR="00F06EA8" w:rsidRPr="00F06EA8" w14:paraId="781C3E9F" w14:textId="77777777" w:rsidTr="00F06EA8">
        <w:trPr>
          <w:trHeight w:val="615"/>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14:paraId="3FE555E0" w14:textId="77777777" w:rsidR="00F06EA8" w:rsidRPr="00F06EA8" w:rsidRDefault="00F06EA8" w:rsidP="00F06EA8">
            <w:pPr>
              <w:widowControl/>
              <w:jc w:val="left"/>
              <w:rPr>
                <w:rFonts w:ascii="inherit" w:eastAsia="宋体" w:hAnsi="inherit" w:cs="Helvetica"/>
                <w:color w:val="333333"/>
                <w:kern w:val="0"/>
                <w:sz w:val="24"/>
                <w:szCs w:val="24"/>
              </w:rPr>
            </w:pPr>
          </w:p>
        </w:tc>
        <w:tc>
          <w:tcPr>
            <w:tcW w:w="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C1C5667"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w:t>
            </w:r>
          </w:p>
        </w:tc>
        <w:tc>
          <w:tcPr>
            <w:tcW w:w="3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62B9A10"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煤炭消费量</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1C24031"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万吨</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4254C40"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1486</w:t>
            </w:r>
          </w:p>
        </w:tc>
        <w:tc>
          <w:tcPr>
            <w:tcW w:w="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5EB12CA"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1307</w:t>
            </w:r>
            <w:r w:rsidRPr="00F06EA8">
              <w:rPr>
                <w:rFonts w:ascii="Times New Roman" w:eastAsia="宋体" w:hAnsi="Times New Roman" w:cs="Times New Roman"/>
                <w:color w:val="333333"/>
                <w:kern w:val="0"/>
                <w:sz w:val="24"/>
                <w:szCs w:val="24"/>
                <w:vertAlign w:val="superscript"/>
              </w:rPr>
              <w:t>*</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63C7333"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[-12%]</w:t>
            </w:r>
          </w:p>
        </w:tc>
      </w:tr>
      <w:tr w:rsidR="00F06EA8" w:rsidRPr="00F06EA8" w14:paraId="6C74E0F0" w14:textId="77777777" w:rsidTr="00F06EA8">
        <w:trPr>
          <w:trHeight w:val="660"/>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14:paraId="6E9B4475" w14:textId="77777777" w:rsidR="00F06EA8" w:rsidRPr="00F06EA8" w:rsidRDefault="00F06EA8" w:rsidP="00F06EA8">
            <w:pPr>
              <w:widowControl/>
              <w:jc w:val="left"/>
              <w:rPr>
                <w:rFonts w:ascii="inherit" w:eastAsia="宋体" w:hAnsi="inherit" w:cs="Helvetica"/>
                <w:color w:val="333333"/>
                <w:kern w:val="0"/>
                <w:sz w:val="24"/>
                <w:szCs w:val="24"/>
              </w:rPr>
            </w:pPr>
          </w:p>
        </w:tc>
        <w:tc>
          <w:tcPr>
            <w:tcW w:w="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59E2F85"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3</w:t>
            </w:r>
          </w:p>
        </w:tc>
        <w:tc>
          <w:tcPr>
            <w:tcW w:w="3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091D443"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全社会用电量</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588EB19" w14:textId="77777777" w:rsidR="00F06EA8" w:rsidRPr="00F06EA8" w:rsidRDefault="00F06EA8" w:rsidP="00F06EA8">
            <w:pPr>
              <w:widowControl/>
              <w:wordWrap w:val="0"/>
              <w:spacing w:line="40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亿千</w:t>
            </w:r>
          </w:p>
          <w:p w14:paraId="50B01957" w14:textId="77777777" w:rsidR="00F06EA8" w:rsidRPr="00F06EA8" w:rsidRDefault="00F06EA8" w:rsidP="00F06EA8">
            <w:pPr>
              <w:widowControl/>
              <w:wordWrap w:val="0"/>
              <w:spacing w:line="40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瓦时</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EC8F0BB"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342.3</w:t>
            </w:r>
          </w:p>
        </w:tc>
        <w:tc>
          <w:tcPr>
            <w:tcW w:w="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DC7EC68"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476.6</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9C52DA6"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6.8%</w:t>
            </w:r>
          </w:p>
        </w:tc>
      </w:tr>
      <w:tr w:rsidR="00F06EA8" w:rsidRPr="00F06EA8" w14:paraId="4B8E9A26" w14:textId="77777777" w:rsidTr="00F06EA8">
        <w:trPr>
          <w:trHeight w:val="600"/>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14:paraId="5AE65AC3" w14:textId="77777777" w:rsidR="00F06EA8" w:rsidRPr="00F06EA8" w:rsidRDefault="00F06EA8" w:rsidP="00F06EA8">
            <w:pPr>
              <w:widowControl/>
              <w:jc w:val="left"/>
              <w:rPr>
                <w:rFonts w:ascii="inherit" w:eastAsia="宋体" w:hAnsi="inherit" w:cs="Helvetica"/>
                <w:color w:val="333333"/>
                <w:kern w:val="0"/>
                <w:sz w:val="24"/>
                <w:szCs w:val="24"/>
              </w:rPr>
            </w:pPr>
          </w:p>
        </w:tc>
        <w:tc>
          <w:tcPr>
            <w:tcW w:w="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234C32E"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4</w:t>
            </w:r>
          </w:p>
        </w:tc>
        <w:tc>
          <w:tcPr>
            <w:tcW w:w="3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D309B78"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电力装机总量</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CC929AD"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proofErr w:type="gramStart"/>
            <w:r w:rsidRPr="00F06EA8">
              <w:rPr>
                <w:rFonts w:ascii="仿宋_GB2312" w:eastAsia="仿宋_GB2312" w:hAnsi="inherit" w:cs="Helvetica" w:hint="eastAsia"/>
                <w:color w:val="333333"/>
                <w:kern w:val="0"/>
                <w:sz w:val="24"/>
                <w:szCs w:val="24"/>
              </w:rPr>
              <w:t>万千瓦</w:t>
            </w:r>
            <w:proofErr w:type="gramEnd"/>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C50BEF2"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414.7</w:t>
            </w:r>
          </w:p>
        </w:tc>
        <w:tc>
          <w:tcPr>
            <w:tcW w:w="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0BA0F60"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622.8</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CEC97F6"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8.5%</w:t>
            </w:r>
          </w:p>
        </w:tc>
      </w:tr>
      <w:tr w:rsidR="00F06EA8" w:rsidRPr="00F06EA8" w14:paraId="75336F7B" w14:textId="77777777" w:rsidTr="00F06EA8">
        <w:trPr>
          <w:trHeight w:val="600"/>
        </w:trPr>
        <w:tc>
          <w:tcPr>
            <w:tcW w:w="7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8BC7F4B"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结构优化</w:t>
            </w:r>
          </w:p>
        </w:tc>
        <w:tc>
          <w:tcPr>
            <w:tcW w:w="9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26C31C5"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能源结构</w:t>
            </w:r>
          </w:p>
        </w:tc>
        <w:tc>
          <w:tcPr>
            <w:tcW w:w="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BBE1E04"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5</w:t>
            </w:r>
          </w:p>
        </w:tc>
        <w:tc>
          <w:tcPr>
            <w:tcW w:w="3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7927C49"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煤炭消费比重</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9B6C7AC"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416F271"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41.7</w:t>
            </w:r>
          </w:p>
        </w:tc>
        <w:tc>
          <w:tcPr>
            <w:tcW w:w="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F5FB48B"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28.8</w:t>
            </w:r>
            <w:r w:rsidRPr="00F06EA8">
              <w:rPr>
                <w:rFonts w:ascii="Times New Roman" w:eastAsia="宋体" w:hAnsi="Times New Roman" w:cs="Times New Roman"/>
                <w:color w:val="333333"/>
                <w:kern w:val="0"/>
                <w:sz w:val="24"/>
                <w:szCs w:val="24"/>
                <w:vertAlign w:val="superscript"/>
              </w:rPr>
              <w:t>*</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59DE3A7"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[-12.9]</w:t>
            </w:r>
          </w:p>
        </w:tc>
      </w:tr>
      <w:tr w:rsidR="00F06EA8" w:rsidRPr="00F06EA8" w14:paraId="3A7F5759" w14:textId="77777777" w:rsidTr="00F06EA8">
        <w:trPr>
          <w:trHeight w:val="49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5148BE83" w14:textId="77777777" w:rsidR="00F06EA8" w:rsidRPr="00F06EA8" w:rsidRDefault="00F06EA8" w:rsidP="00F06EA8">
            <w:pPr>
              <w:widowControl/>
              <w:jc w:val="left"/>
              <w:rPr>
                <w:rFonts w:ascii="inherit" w:eastAsia="宋体" w:hAnsi="inherit" w:cs="Helvetica"/>
                <w:color w:val="333333"/>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14:paraId="6EC1991B" w14:textId="77777777" w:rsidR="00F06EA8" w:rsidRPr="00F06EA8" w:rsidRDefault="00F06EA8" w:rsidP="00F06EA8">
            <w:pPr>
              <w:widowControl/>
              <w:jc w:val="left"/>
              <w:rPr>
                <w:rFonts w:ascii="inherit" w:eastAsia="宋体" w:hAnsi="inherit" w:cs="Helvetica"/>
                <w:color w:val="333333"/>
                <w:kern w:val="0"/>
                <w:sz w:val="24"/>
                <w:szCs w:val="24"/>
              </w:rPr>
            </w:pPr>
          </w:p>
        </w:tc>
        <w:tc>
          <w:tcPr>
            <w:tcW w:w="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41B81C5"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6</w:t>
            </w:r>
          </w:p>
        </w:tc>
        <w:tc>
          <w:tcPr>
            <w:tcW w:w="3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E4E17D6"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油品消费比重</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4F57291"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738E80A"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36.1</w:t>
            </w:r>
          </w:p>
        </w:tc>
        <w:tc>
          <w:tcPr>
            <w:tcW w:w="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D2A866C"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31.4</w:t>
            </w:r>
            <w:r w:rsidRPr="00F06EA8">
              <w:rPr>
                <w:rFonts w:ascii="Times New Roman" w:eastAsia="宋体" w:hAnsi="Times New Roman" w:cs="Times New Roman"/>
                <w:color w:val="333333"/>
                <w:kern w:val="0"/>
                <w:sz w:val="24"/>
                <w:szCs w:val="24"/>
                <w:vertAlign w:val="superscript"/>
              </w:rPr>
              <w:t>*</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373BF50"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[-4.7]</w:t>
            </w:r>
          </w:p>
        </w:tc>
      </w:tr>
      <w:tr w:rsidR="00F06EA8" w:rsidRPr="00F06EA8" w14:paraId="2E38A94E" w14:textId="77777777" w:rsidTr="00F06EA8">
        <w:trPr>
          <w:trHeight w:val="51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4246D1C4" w14:textId="77777777" w:rsidR="00F06EA8" w:rsidRPr="00F06EA8" w:rsidRDefault="00F06EA8" w:rsidP="00F06EA8">
            <w:pPr>
              <w:widowControl/>
              <w:jc w:val="left"/>
              <w:rPr>
                <w:rFonts w:ascii="inherit" w:eastAsia="宋体" w:hAnsi="inherit" w:cs="Helvetica"/>
                <w:color w:val="333333"/>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14:paraId="31EA1D47" w14:textId="77777777" w:rsidR="00F06EA8" w:rsidRPr="00F06EA8" w:rsidRDefault="00F06EA8" w:rsidP="00F06EA8">
            <w:pPr>
              <w:widowControl/>
              <w:jc w:val="left"/>
              <w:rPr>
                <w:rFonts w:ascii="inherit" w:eastAsia="宋体" w:hAnsi="inherit" w:cs="Helvetica"/>
                <w:color w:val="333333"/>
                <w:kern w:val="0"/>
                <w:sz w:val="24"/>
                <w:szCs w:val="24"/>
              </w:rPr>
            </w:pPr>
          </w:p>
        </w:tc>
        <w:tc>
          <w:tcPr>
            <w:tcW w:w="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D71F4CC"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7</w:t>
            </w:r>
          </w:p>
        </w:tc>
        <w:tc>
          <w:tcPr>
            <w:tcW w:w="3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7C9254E"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天然气消费比重</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AA8EA18"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D295C81"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5.7</w:t>
            </w:r>
          </w:p>
        </w:tc>
        <w:tc>
          <w:tcPr>
            <w:tcW w:w="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6CEAD23"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8.6</w:t>
            </w:r>
            <w:r w:rsidRPr="00F06EA8">
              <w:rPr>
                <w:rFonts w:ascii="Times New Roman" w:eastAsia="宋体" w:hAnsi="Times New Roman" w:cs="Times New Roman"/>
                <w:color w:val="333333"/>
                <w:kern w:val="0"/>
                <w:sz w:val="24"/>
                <w:szCs w:val="24"/>
                <w:vertAlign w:val="superscript"/>
              </w:rPr>
              <w:t>*</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1D4DD40"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[2.9]</w:t>
            </w:r>
          </w:p>
        </w:tc>
      </w:tr>
      <w:tr w:rsidR="00F06EA8" w:rsidRPr="00F06EA8" w14:paraId="3D38EF6A" w14:textId="77777777" w:rsidTr="00F06EA8">
        <w:trPr>
          <w:trHeight w:val="37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4EC3F2FF" w14:textId="77777777" w:rsidR="00F06EA8" w:rsidRPr="00F06EA8" w:rsidRDefault="00F06EA8" w:rsidP="00F06EA8">
            <w:pPr>
              <w:widowControl/>
              <w:jc w:val="left"/>
              <w:rPr>
                <w:rFonts w:ascii="inherit" w:eastAsia="宋体" w:hAnsi="inherit" w:cs="Helvetica"/>
                <w:color w:val="333333"/>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14:paraId="4E4DFC6C" w14:textId="77777777" w:rsidR="00F06EA8" w:rsidRPr="00F06EA8" w:rsidRDefault="00F06EA8" w:rsidP="00F06EA8">
            <w:pPr>
              <w:widowControl/>
              <w:jc w:val="left"/>
              <w:rPr>
                <w:rFonts w:ascii="inherit" w:eastAsia="宋体" w:hAnsi="inherit" w:cs="Helvetica"/>
                <w:color w:val="333333"/>
                <w:kern w:val="0"/>
                <w:sz w:val="24"/>
                <w:szCs w:val="24"/>
              </w:rPr>
            </w:pPr>
          </w:p>
        </w:tc>
        <w:tc>
          <w:tcPr>
            <w:tcW w:w="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0D9A8A2"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8</w:t>
            </w:r>
          </w:p>
        </w:tc>
        <w:tc>
          <w:tcPr>
            <w:tcW w:w="3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92709D2"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电力消费比重</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9B09541"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65AC1E5"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16.5</w:t>
            </w:r>
          </w:p>
        </w:tc>
        <w:tc>
          <w:tcPr>
            <w:tcW w:w="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2CD3B85"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29.2</w:t>
            </w:r>
            <w:r w:rsidRPr="00F06EA8">
              <w:rPr>
                <w:rFonts w:ascii="Times New Roman" w:eastAsia="宋体" w:hAnsi="Times New Roman" w:cs="Times New Roman"/>
                <w:color w:val="333333"/>
                <w:kern w:val="0"/>
                <w:sz w:val="24"/>
                <w:szCs w:val="24"/>
                <w:vertAlign w:val="superscript"/>
              </w:rPr>
              <w:t>*</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671222E"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[12.7]</w:t>
            </w:r>
          </w:p>
        </w:tc>
      </w:tr>
      <w:tr w:rsidR="00F06EA8" w:rsidRPr="00F06EA8" w14:paraId="7350D8B9" w14:textId="77777777" w:rsidTr="00F06EA8">
        <w:trPr>
          <w:trHeight w:val="66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4C4591E5" w14:textId="77777777" w:rsidR="00F06EA8" w:rsidRPr="00F06EA8" w:rsidRDefault="00F06EA8" w:rsidP="00F06EA8">
            <w:pPr>
              <w:widowControl/>
              <w:jc w:val="left"/>
              <w:rPr>
                <w:rFonts w:ascii="inherit" w:eastAsia="宋体" w:hAnsi="inherit" w:cs="Helvetica"/>
                <w:color w:val="333333"/>
                <w:kern w:val="0"/>
                <w:sz w:val="24"/>
                <w:szCs w:val="24"/>
              </w:rPr>
            </w:pPr>
          </w:p>
        </w:tc>
        <w:tc>
          <w:tcPr>
            <w:tcW w:w="9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3FAD69C" w14:textId="77777777" w:rsidR="00F06EA8" w:rsidRPr="00F06EA8" w:rsidRDefault="00F06EA8" w:rsidP="00F06EA8">
            <w:pPr>
              <w:widowControl/>
              <w:wordWrap w:val="0"/>
              <w:spacing w:line="480"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电力结构</w:t>
            </w:r>
          </w:p>
        </w:tc>
        <w:tc>
          <w:tcPr>
            <w:tcW w:w="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907DF08"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9</w:t>
            </w:r>
          </w:p>
        </w:tc>
        <w:tc>
          <w:tcPr>
            <w:tcW w:w="3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E04373B" w14:textId="77777777" w:rsidR="00F06EA8" w:rsidRPr="00F06EA8" w:rsidRDefault="00F06EA8" w:rsidP="00F06EA8">
            <w:pPr>
              <w:widowControl/>
              <w:wordWrap w:val="0"/>
              <w:spacing w:line="40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煤电电量占全社会用电量比重</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2C7BFE8"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419E94B"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44.2</w:t>
            </w:r>
          </w:p>
        </w:tc>
        <w:tc>
          <w:tcPr>
            <w:tcW w:w="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117BD0F"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26.4</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6BCC7FB"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[-17.8]</w:t>
            </w:r>
          </w:p>
        </w:tc>
      </w:tr>
      <w:tr w:rsidR="00F06EA8" w:rsidRPr="00F06EA8" w14:paraId="345AE684" w14:textId="77777777" w:rsidTr="00F06EA8">
        <w:trPr>
          <w:trHeight w:val="66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7F972AAA" w14:textId="77777777" w:rsidR="00F06EA8" w:rsidRPr="00F06EA8" w:rsidRDefault="00F06EA8" w:rsidP="00F06EA8">
            <w:pPr>
              <w:widowControl/>
              <w:jc w:val="left"/>
              <w:rPr>
                <w:rFonts w:ascii="inherit" w:eastAsia="宋体" w:hAnsi="inherit" w:cs="Helvetica"/>
                <w:color w:val="333333"/>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14:paraId="654CA687" w14:textId="77777777" w:rsidR="00F06EA8" w:rsidRPr="00F06EA8" w:rsidRDefault="00F06EA8" w:rsidP="00F06EA8">
            <w:pPr>
              <w:widowControl/>
              <w:jc w:val="left"/>
              <w:rPr>
                <w:rFonts w:ascii="inherit" w:eastAsia="宋体" w:hAnsi="inherit" w:cs="Helvetica"/>
                <w:color w:val="333333"/>
                <w:kern w:val="0"/>
                <w:sz w:val="24"/>
                <w:szCs w:val="24"/>
              </w:rPr>
            </w:pPr>
          </w:p>
        </w:tc>
        <w:tc>
          <w:tcPr>
            <w:tcW w:w="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89D831A"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10</w:t>
            </w:r>
          </w:p>
        </w:tc>
        <w:tc>
          <w:tcPr>
            <w:tcW w:w="3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DBB5229" w14:textId="77777777" w:rsidR="00F06EA8" w:rsidRPr="00F06EA8" w:rsidRDefault="00F06EA8" w:rsidP="00F06EA8">
            <w:pPr>
              <w:widowControl/>
              <w:wordWrap w:val="0"/>
              <w:spacing w:line="40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清洁能源电量占全社会用电量比重</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64BE74D"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8F57134"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5.3</w:t>
            </w:r>
          </w:p>
        </w:tc>
        <w:tc>
          <w:tcPr>
            <w:tcW w:w="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B04B806"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13.6</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F1499BE"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[8.3]</w:t>
            </w:r>
          </w:p>
        </w:tc>
      </w:tr>
      <w:tr w:rsidR="00F06EA8" w:rsidRPr="00F06EA8" w14:paraId="43F76307" w14:textId="77777777" w:rsidTr="00F06EA8">
        <w:trPr>
          <w:trHeight w:val="66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1E4A1D4A" w14:textId="77777777" w:rsidR="00F06EA8" w:rsidRPr="00F06EA8" w:rsidRDefault="00F06EA8" w:rsidP="00F06EA8">
            <w:pPr>
              <w:widowControl/>
              <w:jc w:val="left"/>
              <w:rPr>
                <w:rFonts w:ascii="inherit" w:eastAsia="宋体" w:hAnsi="inherit" w:cs="Helvetica"/>
                <w:color w:val="333333"/>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14:paraId="1C52505D" w14:textId="77777777" w:rsidR="00F06EA8" w:rsidRPr="00F06EA8" w:rsidRDefault="00F06EA8" w:rsidP="00F06EA8">
            <w:pPr>
              <w:widowControl/>
              <w:jc w:val="left"/>
              <w:rPr>
                <w:rFonts w:ascii="inherit" w:eastAsia="宋体" w:hAnsi="inherit" w:cs="Helvetica"/>
                <w:color w:val="333333"/>
                <w:kern w:val="0"/>
                <w:sz w:val="24"/>
                <w:szCs w:val="24"/>
              </w:rPr>
            </w:pPr>
          </w:p>
        </w:tc>
        <w:tc>
          <w:tcPr>
            <w:tcW w:w="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CE1C745"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11</w:t>
            </w:r>
          </w:p>
        </w:tc>
        <w:tc>
          <w:tcPr>
            <w:tcW w:w="3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CA6607C" w14:textId="77777777" w:rsidR="00F06EA8" w:rsidRPr="00F06EA8" w:rsidRDefault="00F06EA8" w:rsidP="00F06EA8">
            <w:pPr>
              <w:widowControl/>
              <w:wordWrap w:val="0"/>
              <w:spacing w:line="40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市外电量占全社会用电量比重</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5D0344A"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F72BA0D"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50.5</w:t>
            </w:r>
          </w:p>
        </w:tc>
        <w:tc>
          <w:tcPr>
            <w:tcW w:w="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F583CEB"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60.0</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725E60D"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[9.5]</w:t>
            </w:r>
          </w:p>
        </w:tc>
      </w:tr>
      <w:tr w:rsidR="00F06EA8" w:rsidRPr="00F06EA8" w14:paraId="7352C701" w14:textId="77777777" w:rsidTr="00F06EA8">
        <w:trPr>
          <w:trHeight w:val="660"/>
        </w:trPr>
        <w:tc>
          <w:tcPr>
            <w:tcW w:w="16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049EE960" w14:textId="77777777" w:rsidR="00F06EA8" w:rsidRPr="00F06EA8" w:rsidRDefault="00F06EA8" w:rsidP="00F06EA8">
            <w:pPr>
              <w:widowControl/>
              <w:wordWrap w:val="0"/>
              <w:spacing w:line="40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节能</w:t>
            </w:r>
          </w:p>
          <w:p w14:paraId="5F6BB594" w14:textId="77777777" w:rsidR="00F06EA8" w:rsidRPr="00F06EA8" w:rsidRDefault="00F06EA8" w:rsidP="00F06EA8">
            <w:pPr>
              <w:widowControl/>
              <w:wordWrap w:val="0"/>
              <w:spacing w:line="40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增效</w:t>
            </w:r>
          </w:p>
        </w:tc>
        <w:tc>
          <w:tcPr>
            <w:tcW w:w="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221E753"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12</w:t>
            </w:r>
          </w:p>
        </w:tc>
        <w:tc>
          <w:tcPr>
            <w:tcW w:w="3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9B43EF5" w14:textId="77777777" w:rsidR="00F06EA8" w:rsidRPr="00F06EA8" w:rsidRDefault="00F06EA8" w:rsidP="00F06EA8">
            <w:pPr>
              <w:widowControl/>
              <w:wordWrap w:val="0"/>
              <w:spacing w:line="40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单位地区生产</w:t>
            </w:r>
            <w:r w:rsidRPr="00F06EA8">
              <w:rPr>
                <w:rFonts w:ascii="仿宋_GB2312" w:eastAsia="仿宋_GB2312" w:hAnsi="inherit" w:cs="Helvetica" w:hint="eastAsia"/>
                <w:color w:val="333333"/>
                <w:kern w:val="0"/>
                <w:sz w:val="24"/>
                <w:szCs w:val="24"/>
              </w:rPr>
              <w:lastRenderedPageBreak/>
              <w:t>总值能耗</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2E014C0" w14:textId="77777777" w:rsidR="00F06EA8" w:rsidRPr="00F06EA8" w:rsidRDefault="00F06EA8" w:rsidP="00F06EA8">
            <w:pPr>
              <w:widowControl/>
              <w:wordWrap w:val="0"/>
              <w:spacing w:line="40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lastRenderedPageBreak/>
              <w:t>吨标准煤</w:t>
            </w:r>
            <w:r w:rsidRPr="00F06EA8">
              <w:rPr>
                <w:rFonts w:ascii="Times New Roman" w:eastAsia="宋体" w:hAnsi="Times New Roman" w:cs="Times New Roman"/>
                <w:color w:val="333333"/>
                <w:kern w:val="0"/>
                <w:sz w:val="24"/>
                <w:szCs w:val="24"/>
              </w:rPr>
              <w:t>/</w:t>
            </w:r>
            <w:r w:rsidRPr="00F06EA8">
              <w:rPr>
                <w:rFonts w:ascii="仿宋_GB2312" w:eastAsia="仿宋_GB2312" w:hAnsi="inherit" w:cs="Helvetica" w:hint="eastAsia"/>
                <w:color w:val="333333"/>
                <w:kern w:val="0"/>
                <w:sz w:val="24"/>
                <w:szCs w:val="24"/>
              </w:rPr>
              <w:t>万元</w:t>
            </w:r>
          </w:p>
        </w:tc>
        <w:tc>
          <w:tcPr>
            <w:tcW w:w="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988B1C2"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0.34</w:t>
            </w:r>
          </w:p>
        </w:tc>
        <w:tc>
          <w:tcPr>
            <w:tcW w:w="1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C185F88"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0.27</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E15BF26" w14:textId="77777777" w:rsidR="00F06EA8" w:rsidRPr="00F06EA8" w:rsidRDefault="00F06EA8" w:rsidP="00F06EA8">
            <w:pPr>
              <w:widowControl/>
              <w:wordWrap w:val="0"/>
              <w:spacing w:line="480"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[-21.5%]</w:t>
            </w:r>
          </w:p>
        </w:tc>
      </w:tr>
    </w:tbl>
    <w:p w14:paraId="49A96607" w14:textId="77777777" w:rsidR="00F06EA8" w:rsidRPr="00F06EA8" w:rsidRDefault="00F06EA8" w:rsidP="00F06EA8">
      <w:pPr>
        <w:widowControl/>
        <w:shd w:val="clear" w:color="auto" w:fill="FFFFFF"/>
        <w:spacing w:line="405" w:lineRule="atLeast"/>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24"/>
          <w:szCs w:val="24"/>
        </w:rPr>
        <w:t>注：</w:t>
      </w:r>
      <w:r w:rsidRPr="00F06EA8">
        <w:rPr>
          <w:rFonts w:ascii="Times New Roman" w:eastAsia="宋体" w:hAnsi="Times New Roman" w:cs="Times New Roman"/>
          <w:color w:val="333333"/>
          <w:kern w:val="0"/>
          <w:sz w:val="24"/>
          <w:szCs w:val="24"/>
        </w:rPr>
        <w:t>1.</w:t>
      </w:r>
      <w:r w:rsidRPr="00F06EA8">
        <w:rPr>
          <w:rFonts w:ascii="仿宋_GB2312" w:eastAsia="仿宋_GB2312" w:hAnsi="Helvetica" w:cs="Helvetica" w:hint="eastAsia"/>
          <w:color w:val="333333"/>
          <w:kern w:val="0"/>
          <w:sz w:val="24"/>
          <w:szCs w:val="24"/>
        </w:rPr>
        <w:t>标注</w:t>
      </w:r>
      <w:r w:rsidRPr="00F06EA8">
        <w:rPr>
          <w:rFonts w:ascii="Times New Roman" w:eastAsia="宋体" w:hAnsi="Times New Roman" w:cs="Times New Roman"/>
          <w:color w:val="333333"/>
          <w:kern w:val="0"/>
          <w:sz w:val="24"/>
          <w:szCs w:val="24"/>
        </w:rPr>
        <w:t>*</w:t>
      </w:r>
      <w:r w:rsidRPr="00F06EA8">
        <w:rPr>
          <w:rFonts w:ascii="仿宋_GB2312" w:eastAsia="仿宋_GB2312" w:hAnsi="Helvetica" w:cs="Helvetica" w:hint="eastAsia"/>
          <w:color w:val="333333"/>
          <w:kern w:val="0"/>
          <w:sz w:val="24"/>
          <w:szCs w:val="24"/>
        </w:rPr>
        <w:t>为</w:t>
      </w:r>
      <w:r w:rsidRPr="00F06EA8">
        <w:rPr>
          <w:rFonts w:ascii="Times New Roman" w:eastAsia="宋体" w:hAnsi="Times New Roman" w:cs="Times New Roman"/>
          <w:color w:val="333333"/>
          <w:kern w:val="0"/>
          <w:sz w:val="24"/>
          <w:szCs w:val="24"/>
        </w:rPr>
        <w:t>2020</w:t>
      </w:r>
      <w:r w:rsidRPr="00F06EA8">
        <w:rPr>
          <w:rFonts w:ascii="仿宋_GB2312" w:eastAsia="仿宋_GB2312" w:hAnsi="Helvetica" w:cs="Helvetica" w:hint="eastAsia"/>
          <w:color w:val="333333"/>
          <w:kern w:val="0"/>
          <w:sz w:val="24"/>
          <w:szCs w:val="24"/>
        </w:rPr>
        <w:t>年预计数据；</w:t>
      </w:r>
      <w:r w:rsidRPr="00F06EA8">
        <w:rPr>
          <w:rFonts w:ascii="Times New Roman" w:eastAsia="宋体" w:hAnsi="Times New Roman" w:cs="Times New Roman"/>
          <w:color w:val="333333"/>
          <w:kern w:val="0"/>
          <w:sz w:val="24"/>
          <w:szCs w:val="24"/>
        </w:rPr>
        <w:t>2.[  ]</w:t>
      </w:r>
      <w:r w:rsidRPr="00F06EA8">
        <w:rPr>
          <w:rFonts w:ascii="仿宋_GB2312" w:eastAsia="仿宋_GB2312" w:hAnsi="Helvetica" w:cs="Helvetica" w:hint="eastAsia"/>
          <w:color w:val="333333"/>
          <w:kern w:val="0"/>
          <w:sz w:val="24"/>
          <w:szCs w:val="24"/>
        </w:rPr>
        <w:t>内为累计值；</w:t>
      </w:r>
      <w:r w:rsidRPr="00F06EA8">
        <w:rPr>
          <w:rFonts w:ascii="Times New Roman" w:eastAsia="宋体" w:hAnsi="Times New Roman" w:cs="Times New Roman"/>
          <w:color w:val="333333"/>
          <w:kern w:val="0"/>
          <w:sz w:val="24"/>
          <w:szCs w:val="24"/>
        </w:rPr>
        <w:t>3.</w:t>
      </w:r>
      <w:r w:rsidRPr="00F06EA8">
        <w:rPr>
          <w:rFonts w:ascii="仿宋_GB2312" w:eastAsia="仿宋_GB2312" w:hAnsi="Helvetica" w:cs="Helvetica" w:hint="eastAsia"/>
          <w:color w:val="333333"/>
          <w:kern w:val="0"/>
          <w:sz w:val="24"/>
          <w:szCs w:val="24"/>
        </w:rPr>
        <w:t>电力消费主要指本地一次电力</w:t>
      </w:r>
    </w:p>
    <w:p w14:paraId="02BBED58" w14:textId="77777777" w:rsidR="00F06EA8" w:rsidRPr="00F06EA8" w:rsidRDefault="00F06EA8" w:rsidP="00F06EA8">
      <w:pPr>
        <w:widowControl/>
        <w:shd w:val="clear" w:color="auto" w:fill="FFFFFF"/>
        <w:spacing w:after="150" w:line="405" w:lineRule="atLeast"/>
        <w:jc w:val="left"/>
        <w:rPr>
          <w:rFonts w:ascii="Helvetica" w:eastAsia="宋体" w:hAnsi="Helvetica" w:cs="Helvetica"/>
          <w:color w:val="333333"/>
          <w:kern w:val="0"/>
          <w:sz w:val="24"/>
          <w:szCs w:val="24"/>
        </w:rPr>
      </w:pPr>
      <w:r w:rsidRPr="00F06EA8">
        <w:rPr>
          <w:rFonts w:ascii="Times New Roman" w:eastAsia="宋体" w:hAnsi="Times New Roman" w:cs="Times New Roman"/>
          <w:color w:val="333333"/>
          <w:kern w:val="0"/>
          <w:sz w:val="24"/>
          <w:szCs w:val="24"/>
        </w:rPr>
        <w:t>     </w:t>
      </w:r>
      <w:r w:rsidRPr="00F06EA8">
        <w:rPr>
          <w:rFonts w:ascii="仿宋_GB2312" w:eastAsia="仿宋_GB2312" w:hAnsi="Helvetica" w:cs="Helvetica" w:hint="eastAsia"/>
          <w:color w:val="333333"/>
          <w:kern w:val="0"/>
          <w:sz w:val="24"/>
          <w:szCs w:val="24"/>
        </w:rPr>
        <w:t>和外调电力。</w:t>
      </w:r>
    </w:p>
    <w:p w14:paraId="7E8CF16D"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楷体_GB2312" w:eastAsia="楷体_GB2312" w:hAnsi="Helvetica" w:cs="Helvetica" w:hint="eastAsia"/>
          <w:color w:val="333333"/>
          <w:kern w:val="0"/>
          <w:sz w:val="32"/>
          <w:szCs w:val="32"/>
        </w:rPr>
        <w:t>（二）发展形势。</w:t>
      </w:r>
      <w:r w:rsidRPr="00F06EA8">
        <w:rPr>
          <w:rFonts w:ascii="仿宋_GB2312" w:eastAsia="仿宋_GB2312" w:hAnsi="Helvetica" w:cs="Helvetica" w:hint="eastAsia"/>
          <w:color w:val="333333"/>
          <w:kern w:val="0"/>
          <w:sz w:val="32"/>
          <w:szCs w:val="32"/>
        </w:rPr>
        <w:t>“十四五”时期，我市将更高水平“搞活一座城”，突出在新发展格局中的“双节点”价值，积极推进经济社会高质量发展，能源消费将呈现稳定增长态势，能源发展面临加快转型的重大机遇和挑战。</w:t>
      </w:r>
    </w:p>
    <w:p w14:paraId="0016E61A"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1.面临形势。</w:t>
      </w:r>
    </w:p>
    <w:p w14:paraId="09863576"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“碳达峰、碳中和”对能源转型发展提出新要求。2020年9月，习近平总书记在第七十五届联合国大会一般性辩论上</w:t>
      </w:r>
      <w:proofErr w:type="gramStart"/>
      <w:r w:rsidRPr="00F06EA8">
        <w:rPr>
          <w:rFonts w:ascii="仿宋_GB2312" w:eastAsia="仿宋_GB2312" w:hAnsi="Helvetica" w:cs="Helvetica" w:hint="eastAsia"/>
          <w:color w:val="333333"/>
          <w:kern w:val="0"/>
          <w:sz w:val="32"/>
          <w:szCs w:val="32"/>
        </w:rPr>
        <w:t>作出</w:t>
      </w:r>
      <w:proofErr w:type="gramEnd"/>
      <w:r w:rsidRPr="00F06EA8">
        <w:rPr>
          <w:rFonts w:ascii="仿宋_GB2312" w:eastAsia="仿宋_GB2312" w:hAnsi="Helvetica" w:cs="Helvetica" w:hint="eastAsia"/>
          <w:color w:val="333333"/>
          <w:kern w:val="0"/>
          <w:sz w:val="32"/>
          <w:szCs w:val="32"/>
        </w:rPr>
        <w:t>“二氧化碳排放力争于2030年前达到峰值，努力争取2060年前实现碳中和”的重大宣示，明确提出“到2030年，中国单位国内生产总值二氧化碳排放将比2005年下降65%以上，非化石能源占一次能源消费比重将达到25%左右，风电、太阳能发电总装机容量将达到12亿千瓦以上”的宏伟目标。省委、省政府明确要求，积极推进能源生产和消费革命，坚决遏制“两高”项目盲目发展，大幅提高能源利用效率。深化供给侧结构性改革，加快绿色低碳转型成为能源行业发展必然选择。</w:t>
      </w:r>
    </w:p>
    <w:p w14:paraId="7CBDA451"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lastRenderedPageBreak/>
        <w:t>复杂国际形势对能源安全提出新挑战。国际能源供需格局深刻调整，呈现出生产供应重心西移、多中心化，需求重心加速东移的发展趋势。地缘政治因素加剧了能源供给的不确定性，新冠肺炎疫情影响广泛深远，中美关系情势复杂，国际能源合作不稳定性明显增加、安全风险加大。在新形势下，党中央提出全面落实保能源安全等“六保”任务，省委、省政府明确要求，扎实做好中长期应对国内外环境变化准备，守牢能源产业链、供应</w:t>
      </w:r>
      <w:proofErr w:type="gramStart"/>
      <w:r w:rsidRPr="00F06EA8">
        <w:rPr>
          <w:rFonts w:ascii="仿宋_GB2312" w:eastAsia="仿宋_GB2312" w:hAnsi="Helvetica" w:cs="Helvetica" w:hint="eastAsia"/>
          <w:color w:val="333333"/>
          <w:kern w:val="0"/>
          <w:sz w:val="32"/>
          <w:szCs w:val="32"/>
        </w:rPr>
        <w:t>链安全</w:t>
      </w:r>
      <w:proofErr w:type="gramEnd"/>
      <w:r w:rsidRPr="00F06EA8">
        <w:rPr>
          <w:rFonts w:ascii="仿宋_GB2312" w:eastAsia="仿宋_GB2312" w:hAnsi="Helvetica" w:cs="Helvetica" w:hint="eastAsia"/>
          <w:color w:val="333333"/>
          <w:kern w:val="0"/>
          <w:sz w:val="32"/>
          <w:szCs w:val="32"/>
        </w:rPr>
        <w:t>底线，保障能源安全上升到事关全局的战略高度。</w:t>
      </w:r>
    </w:p>
    <w:p w14:paraId="1255A49E"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科技创新推动能源格局加速调整。全球能源领域科技发展正在孕育着革命性突破，有望成为引领产业变革和经济转型升级的率先突破领域，各种新材料、新技术、新型利用方式层出不穷、不断升级。随着云计算、大数据等技术与能源行业深度融合，能源生产消费各环节新应用场景不断呈现，可再生能源、氢能源等新能源利用、新能源汽车制造、“互联网＋”智慧能源、节能增效、先进储能、二氧化碳捕捉利用与封存等成为重要创新领域，任何领域的突破都将引发新一轮科技和产业革命。</w:t>
      </w:r>
    </w:p>
    <w:p w14:paraId="7A99061B"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区域能源合作迎来重大发展机遇。目前，我国经济社会全面进入新发展阶段，正在加快构建新发展格局，“一带一路”倡议将助推能源领域开放合作，能源的跨区域调配、市场化配置将更加灵活开放。我市作为“一带一路”</w:t>
      </w:r>
      <w:r w:rsidRPr="00F06EA8">
        <w:rPr>
          <w:rFonts w:ascii="仿宋_GB2312" w:eastAsia="仿宋_GB2312" w:hAnsi="Helvetica" w:cs="Helvetica" w:hint="eastAsia"/>
          <w:color w:val="333333"/>
          <w:kern w:val="0"/>
          <w:sz w:val="32"/>
          <w:szCs w:val="32"/>
        </w:rPr>
        <w:lastRenderedPageBreak/>
        <w:t>重要节点，可发挥区位优势，多渠道承接海内外能源资源，打造全省能源枢纽中心；强化</w:t>
      </w:r>
      <w:proofErr w:type="gramStart"/>
      <w:r w:rsidRPr="00F06EA8">
        <w:rPr>
          <w:rFonts w:ascii="仿宋_GB2312" w:eastAsia="仿宋_GB2312" w:hAnsi="Helvetica" w:cs="Helvetica" w:hint="eastAsia"/>
          <w:color w:val="333333"/>
          <w:kern w:val="0"/>
          <w:sz w:val="32"/>
          <w:szCs w:val="32"/>
        </w:rPr>
        <w:t>胶东经济</w:t>
      </w:r>
      <w:proofErr w:type="gramEnd"/>
      <w:r w:rsidRPr="00F06EA8">
        <w:rPr>
          <w:rFonts w:ascii="仿宋_GB2312" w:eastAsia="仿宋_GB2312" w:hAnsi="Helvetica" w:cs="Helvetica" w:hint="eastAsia"/>
          <w:color w:val="333333"/>
          <w:kern w:val="0"/>
          <w:sz w:val="32"/>
          <w:szCs w:val="32"/>
        </w:rPr>
        <w:t>圈一体化协同发展，进一步深化与周边城市的能源合作，推动</w:t>
      </w:r>
      <w:proofErr w:type="gramStart"/>
      <w:r w:rsidRPr="00F06EA8">
        <w:rPr>
          <w:rFonts w:ascii="仿宋_GB2312" w:eastAsia="仿宋_GB2312" w:hAnsi="Helvetica" w:cs="Helvetica" w:hint="eastAsia"/>
          <w:color w:val="333333"/>
          <w:kern w:val="0"/>
          <w:sz w:val="32"/>
          <w:szCs w:val="32"/>
        </w:rPr>
        <w:t>胶东经济</w:t>
      </w:r>
      <w:proofErr w:type="gramEnd"/>
      <w:r w:rsidRPr="00F06EA8">
        <w:rPr>
          <w:rFonts w:ascii="仿宋_GB2312" w:eastAsia="仿宋_GB2312" w:hAnsi="Helvetica" w:cs="Helvetica" w:hint="eastAsia"/>
          <w:color w:val="333333"/>
          <w:kern w:val="0"/>
          <w:sz w:val="32"/>
          <w:szCs w:val="32"/>
        </w:rPr>
        <w:t>圈能源互联互通，系统谋划、统筹推进能源设施布局与安全运行，实现优势互补、合作共赢。</w:t>
      </w:r>
    </w:p>
    <w:p w14:paraId="5B8C294D"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2.存在问题。</w:t>
      </w:r>
    </w:p>
    <w:p w14:paraId="2B19539A"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能源约束日益凸显。从资源禀赋来看，我市煤炭、石油、天然气等一次能源对外依存度达95%以上，是典型的</w:t>
      </w:r>
      <w:proofErr w:type="gramStart"/>
      <w:r w:rsidRPr="00F06EA8">
        <w:rPr>
          <w:rFonts w:ascii="仿宋_GB2312" w:eastAsia="仿宋_GB2312" w:hAnsi="Helvetica" w:cs="Helvetica" w:hint="eastAsia"/>
          <w:color w:val="333333"/>
          <w:kern w:val="0"/>
          <w:sz w:val="32"/>
          <w:szCs w:val="32"/>
        </w:rPr>
        <w:t>能源受端城市</w:t>
      </w:r>
      <w:proofErr w:type="gramEnd"/>
      <w:r w:rsidRPr="00F06EA8">
        <w:rPr>
          <w:rFonts w:ascii="仿宋_GB2312" w:eastAsia="仿宋_GB2312" w:hAnsi="Helvetica" w:cs="Helvetica" w:hint="eastAsia"/>
          <w:color w:val="333333"/>
          <w:kern w:val="0"/>
          <w:sz w:val="32"/>
          <w:szCs w:val="32"/>
        </w:rPr>
        <w:t>，容易受政策环境、运力紧张、价格波动和极端天气等因素影响，能源短缺风险依然存在。近年来，我市能源消费总量逐年稳定增长，能耗“双控”压力不断增加，能耗指标约束性日益凸显。</w:t>
      </w:r>
    </w:p>
    <w:p w14:paraId="05A9129E"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能源供给保障体系存在薄弱环节。2020年，我市外网</w:t>
      </w:r>
      <w:proofErr w:type="gramStart"/>
      <w:r w:rsidRPr="00F06EA8">
        <w:rPr>
          <w:rFonts w:ascii="仿宋_GB2312" w:eastAsia="仿宋_GB2312" w:hAnsi="Helvetica" w:cs="Helvetica" w:hint="eastAsia"/>
          <w:color w:val="333333"/>
          <w:kern w:val="0"/>
          <w:sz w:val="32"/>
          <w:szCs w:val="32"/>
        </w:rPr>
        <w:t>供电占比高</w:t>
      </w:r>
      <w:proofErr w:type="gramEnd"/>
      <w:r w:rsidRPr="00F06EA8">
        <w:rPr>
          <w:rFonts w:ascii="仿宋_GB2312" w:eastAsia="仿宋_GB2312" w:hAnsi="Helvetica" w:cs="Helvetica" w:hint="eastAsia"/>
          <w:color w:val="333333"/>
          <w:kern w:val="0"/>
          <w:sz w:val="32"/>
          <w:szCs w:val="32"/>
        </w:rPr>
        <w:t>达60%，高峰时期电网承载能力已近饱和，且外部电力输入通道单一，供电可靠性不高，可再生能源电力消</w:t>
      </w:r>
      <w:proofErr w:type="gramStart"/>
      <w:r w:rsidRPr="00F06EA8">
        <w:rPr>
          <w:rFonts w:ascii="仿宋_GB2312" w:eastAsia="仿宋_GB2312" w:hAnsi="Helvetica" w:cs="Helvetica" w:hint="eastAsia"/>
          <w:color w:val="333333"/>
          <w:kern w:val="0"/>
          <w:sz w:val="32"/>
          <w:szCs w:val="32"/>
        </w:rPr>
        <w:t>纳能力</w:t>
      </w:r>
      <w:proofErr w:type="gramEnd"/>
      <w:r w:rsidRPr="00F06EA8">
        <w:rPr>
          <w:rFonts w:ascii="仿宋_GB2312" w:eastAsia="仿宋_GB2312" w:hAnsi="Helvetica" w:cs="Helvetica" w:hint="eastAsia"/>
          <w:color w:val="333333"/>
          <w:kern w:val="0"/>
          <w:sz w:val="32"/>
          <w:szCs w:val="32"/>
        </w:rPr>
        <w:t>不足。天然气供应本地调控手段有限，储气设施主要依靠租赁，与国家明确的“城燃企业5%、地方政府3天”要求仍有很大差距。</w:t>
      </w:r>
    </w:p>
    <w:p w14:paraId="423BD871"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能源结构深化调整任务艰巨。2020年，我市能源消费结构中，煤炭、油品、天然气等化石能源占比68.8%，能源消费低碳化转型形势严峻。其中，煤炭消费占能源消费总量的28.8%，油品、天然气、电力消费分别占能源消费总量</w:t>
      </w:r>
      <w:r w:rsidRPr="00F06EA8">
        <w:rPr>
          <w:rFonts w:ascii="仿宋_GB2312" w:eastAsia="仿宋_GB2312" w:hAnsi="Helvetica" w:cs="Helvetica" w:hint="eastAsia"/>
          <w:color w:val="333333"/>
          <w:kern w:val="0"/>
          <w:sz w:val="32"/>
          <w:szCs w:val="32"/>
        </w:rPr>
        <w:lastRenderedPageBreak/>
        <w:t>的31.4%、8.6%、29.2%，天然气等清洁能源消费占比与江苏、广东、上海、深圳等先进省、市相比存在较大差距。可再生能源领域，风电、</w:t>
      </w:r>
      <w:proofErr w:type="gramStart"/>
      <w:r w:rsidRPr="00F06EA8">
        <w:rPr>
          <w:rFonts w:ascii="仿宋_GB2312" w:eastAsia="仿宋_GB2312" w:hAnsi="Helvetica" w:cs="Helvetica" w:hint="eastAsia"/>
          <w:color w:val="333333"/>
          <w:kern w:val="0"/>
          <w:sz w:val="32"/>
          <w:szCs w:val="32"/>
        </w:rPr>
        <w:t>光伏等装机容量</w:t>
      </w:r>
      <w:proofErr w:type="gramEnd"/>
      <w:r w:rsidRPr="00F06EA8">
        <w:rPr>
          <w:rFonts w:ascii="仿宋_GB2312" w:eastAsia="仿宋_GB2312" w:hAnsi="Helvetica" w:cs="Helvetica" w:hint="eastAsia"/>
          <w:color w:val="333333"/>
          <w:kern w:val="0"/>
          <w:sz w:val="32"/>
          <w:szCs w:val="32"/>
        </w:rPr>
        <w:t>达253.2万千瓦、占比40.6%，但发电量仅44.65亿千瓦时、占比23.4%，仍相对较低。</w:t>
      </w:r>
    </w:p>
    <w:p w14:paraId="0CEB44DD"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能源体制机制尚需进一步完善。不同能源企业在基础设施建设和运营方面的互联互通、互相合作需要进一步加强。面对新技术、新模式、新业态的不断涌现，现有体制机制未能及时完善，储能、能源互联网等新技术、新产业推广和应用有待进一步提高。能源体制机制与生态环境、经济发展要求不完全匹配，对能源高质量发展的引领作用还需加强。能源市场化改革有待突破，能源要素配置方式有待完善，配置方向有待更精准化。</w:t>
      </w:r>
    </w:p>
    <w:p w14:paraId="38BD95A5" w14:textId="77777777" w:rsidR="00F06EA8" w:rsidRPr="00F06EA8" w:rsidRDefault="00F06EA8" w:rsidP="00F06EA8">
      <w:pPr>
        <w:widowControl/>
        <w:shd w:val="clear" w:color="auto" w:fill="FFFFFF"/>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br w:type="textWrapping" w:clear="all"/>
      </w:r>
    </w:p>
    <w:p w14:paraId="5C22C018" w14:textId="77777777" w:rsidR="00F06EA8" w:rsidRPr="00F06EA8" w:rsidRDefault="00F06EA8" w:rsidP="00F06EA8">
      <w:pPr>
        <w:widowControl/>
        <w:shd w:val="clear" w:color="auto" w:fill="FFFFFF"/>
        <w:spacing w:line="555" w:lineRule="atLeast"/>
        <w:jc w:val="left"/>
        <w:rPr>
          <w:rFonts w:ascii="Helvetica" w:eastAsia="宋体" w:hAnsi="Helvetica" w:cs="Helvetica"/>
          <w:color w:val="333333"/>
          <w:kern w:val="0"/>
          <w:sz w:val="24"/>
          <w:szCs w:val="24"/>
        </w:rPr>
      </w:pPr>
      <w:r w:rsidRPr="00F06EA8">
        <w:rPr>
          <w:rFonts w:ascii="Calibri" w:eastAsia="黑体" w:hAnsi="Calibri" w:cs="Calibri"/>
          <w:color w:val="333333"/>
          <w:kern w:val="0"/>
          <w:sz w:val="32"/>
          <w:szCs w:val="32"/>
        </w:rPr>
        <w:t>    </w:t>
      </w:r>
      <w:r w:rsidRPr="00F06EA8">
        <w:rPr>
          <w:rFonts w:ascii="黑体" w:eastAsia="黑体" w:hAnsi="黑体" w:cs="Helvetica" w:hint="eastAsia"/>
          <w:color w:val="333333"/>
          <w:kern w:val="0"/>
          <w:sz w:val="32"/>
          <w:szCs w:val="32"/>
        </w:rPr>
        <w:t>二、总体要求</w:t>
      </w:r>
    </w:p>
    <w:p w14:paraId="3C303ACD"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楷体_GB2312" w:eastAsia="楷体_GB2312" w:hAnsi="Helvetica" w:cs="Helvetica" w:hint="eastAsia"/>
          <w:color w:val="333333"/>
          <w:kern w:val="0"/>
          <w:sz w:val="32"/>
          <w:szCs w:val="32"/>
        </w:rPr>
        <w:t>（一）指导思想。</w:t>
      </w:r>
      <w:r w:rsidRPr="00F06EA8">
        <w:rPr>
          <w:rFonts w:ascii="仿宋_GB2312" w:eastAsia="仿宋_GB2312" w:hAnsi="Helvetica" w:cs="Helvetica" w:hint="eastAsia"/>
          <w:color w:val="333333"/>
          <w:kern w:val="0"/>
          <w:sz w:val="32"/>
          <w:szCs w:val="32"/>
        </w:rPr>
        <w:t>以习近平新时代中国特色社会主义思想为指导，科学把握新发展阶段、全面贯彻新发展理念、服务构建新发展格局，全面落实“碳达峰、碳中和”新要求和“四个革命、一个合作”能源安全新战略，以绿色低碳发展为主线，以能源安全保障为核心，以改革创新为驱动力，紧密契合我市“十四五”能源发展新需求，深入实施“三三三四五”发展战略，进一步强化能源保障能</w:t>
      </w:r>
      <w:r w:rsidRPr="00F06EA8">
        <w:rPr>
          <w:rFonts w:ascii="仿宋_GB2312" w:eastAsia="仿宋_GB2312" w:hAnsi="Helvetica" w:cs="Helvetica" w:hint="eastAsia"/>
          <w:color w:val="333333"/>
          <w:kern w:val="0"/>
          <w:sz w:val="32"/>
          <w:szCs w:val="32"/>
        </w:rPr>
        <w:lastRenderedPageBreak/>
        <w:t>力，持续优化能源消费结构，着力提升能源利用效率，有效控制能源消费总量，加速推动科技创新发展，有序推进能源体制改革，全面构建清洁低碳、安全高效的现代能源体系，为建设开放、现代、活力、时尚的国际大都市提供坚实保障。</w:t>
      </w:r>
    </w:p>
    <w:p w14:paraId="214C9B66"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楷体_GB2312" w:eastAsia="楷体_GB2312" w:hAnsi="Helvetica" w:cs="Helvetica" w:hint="eastAsia"/>
          <w:color w:val="333333"/>
          <w:kern w:val="0"/>
          <w:sz w:val="32"/>
          <w:szCs w:val="32"/>
        </w:rPr>
        <w:t>（二）基本原则。</w:t>
      </w:r>
    </w:p>
    <w:p w14:paraId="12F25221"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清洁低碳、绿色发展。牢牢把握生态文明建设要求，统筹推进非化石能源规模化发展与化石能源清洁高效利用，推动主要用能产业绿色发展，优化调整能源结构，加快能源发展方式转变，推动增量需求主要依托清洁能源，加速能源向清洁低碳转型。</w:t>
      </w:r>
    </w:p>
    <w:p w14:paraId="754566B2"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多元开放、安全发展。统筹发展和安全，立足</w:t>
      </w:r>
      <w:proofErr w:type="gramStart"/>
      <w:r w:rsidRPr="00F06EA8">
        <w:rPr>
          <w:rFonts w:ascii="仿宋_GB2312" w:eastAsia="仿宋_GB2312" w:hAnsi="Helvetica" w:cs="Helvetica" w:hint="eastAsia"/>
          <w:color w:val="333333"/>
          <w:kern w:val="0"/>
          <w:sz w:val="32"/>
          <w:szCs w:val="32"/>
        </w:rPr>
        <w:t>胶东经济</w:t>
      </w:r>
      <w:proofErr w:type="gramEnd"/>
      <w:r w:rsidRPr="00F06EA8">
        <w:rPr>
          <w:rFonts w:ascii="仿宋_GB2312" w:eastAsia="仿宋_GB2312" w:hAnsi="Helvetica" w:cs="Helvetica" w:hint="eastAsia"/>
          <w:color w:val="333333"/>
          <w:kern w:val="0"/>
          <w:sz w:val="32"/>
          <w:szCs w:val="32"/>
        </w:rPr>
        <w:t>圈一体化发展，充分发挥区位、市场、基础设施等综合优势，融入新发展格局，推进能源开放合作，完善多轮驱动能源供给体系，健全多元市场供应体系，打造韧性、安全的现代能源供给保障体系，全面提升开放条件下能源安全水平。</w:t>
      </w:r>
    </w:p>
    <w:p w14:paraId="0281A90A"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节能增效、集约发展。围绕“碳达峰、碳中和”目标，树立“节能是第一能源”理念，</w:t>
      </w:r>
      <w:proofErr w:type="gramStart"/>
      <w:r w:rsidRPr="00F06EA8">
        <w:rPr>
          <w:rFonts w:ascii="仿宋_GB2312" w:eastAsia="仿宋_GB2312" w:hAnsi="Helvetica" w:cs="Helvetica" w:hint="eastAsia"/>
          <w:color w:val="333333"/>
          <w:kern w:val="0"/>
          <w:sz w:val="32"/>
          <w:szCs w:val="32"/>
        </w:rPr>
        <w:t>践行</w:t>
      </w:r>
      <w:proofErr w:type="gramEnd"/>
      <w:r w:rsidRPr="00F06EA8">
        <w:rPr>
          <w:rFonts w:ascii="仿宋_GB2312" w:eastAsia="仿宋_GB2312" w:hAnsi="Helvetica" w:cs="Helvetica" w:hint="eastAsia"/>
          <w:color w:val="333333"/>
          <w:kern w:val="0"/>
          <w:sz w:val="32"/>
          <w:szCs w:val="32"/>
        </w:rPr>
        <w:t>绿色集约生产、生活和消费方式，把节能贯穿于经济社会发展的各领域各环节，充分发挥节能的引导和倒逼作用，推动全社会能效</w:t>
      </w:r>
      <w:r w:rsidRPr="00F06EA8">
        <w:rPr>
          <w:rFonts w:ascii="仿宋_GB2312" w:eastAsia="仿宋_GB2312" w:hAnsi="Helvetica" w:cs="Helvetica" w:hint="eastAsia"/>
          <w:color w:val="333333"/>
          <w:kern w:val="0"/>
          <w:sz w:val="32"/>
          <w:szCs w:val="32"/>
        </w:rPr>
        <w:lastRenderedPageBreak/>
        <w:t>提升。通过节能增效弱化城市发展对能源需求的依赖性，拓展高质量发展的能源空间。</w:t>
      </w:r>
    </w:p>
    <w:p w14:paraId="433E872D"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创新驱动、融合发展。突出</w:t>
      </w:r>
      <w:proofErr w:type="gramStart"/>
      <w:r w:rsidRPr="00F06EA8">
        <w:rPr>
          <w:rFonts w:ascii="仿宋_GB2312" w:eastAsia="仿宋_GB2312" w:hAnsi="Helvetica" w:cs="Helvetica" w:hint="eastAsia"/>
          <w:color w:val="333333"/>
          <w:kern w:val="0"/>
          <w:sz w:val="32"/>
          <w:szCs w:val="32"/>
        </w:rPr>
        <w:t>创新第一动</w:t>
      </w:r>
      <w:proofErr w:type="gramEnd"/>
      <w:r w:rsidRPr="00F06EA8">
        <w:rPr>
          <w:rFonts w:ascii="仿宋_GB2312" w:eastAsia="仿宋_GB2312" w:hAnsi="Helvetica" w:cs="Helvetica" w:hint="eastAsia"/>
          <w:color w:val="333333"/>
          <w:kern w:val="0"/>
          <w:sz w:val="32"/>
          <w:szCs w:val="32"/>
        </w:rPr>
        <w:t>力作用，以绿色低碳、智慧互联为方向，推进技术创新、产业创新、商业模式创新，系统推进能源重点领域改革，加快能源与数字、信息技术深度融合，鼓励能源基础设施跨界融合发展，把能源技术及关联产业培育成带动产业升级的新增长点。</w:t>
      </w:r>
    </w:p>
    <w:p w14:paraId="50D49913"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楷体_GB2312" w:eastAsia="楷体_GB2312" w:hAnsi="Helvetica" w:cs="Helvetica" w:hint="eastAsia"/>
          <w:color w:val="333333"/>
          <w:kern w:val="0"/>
          <w:sz w:val="32"/>
          <w:szCs w:val="32"/>
        </w:rPr>
        <w:t>（三）发展目标。</w:t>
      </w:r>
    </w:p>
    <w:p w14:paraId="07014293"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楷体_GB2312" w:eastAsia="楷体_GB2312" w:hAnsi="Helvetica" w:cs="Helvetica" w:hint="eastAsia"/>
          <w:color w:val="333333"/>
          <w:kern w:val="0"/>
          <w:sz w:val="32"/>
          <w:szCs w:val="32"/>
        </w:rPr>
        <w:t>1.强化总量调控。</w:t>
      </w:r>
      <w:r w:rsidRPr="00F06EA8">
        <w:rPr>
          <w:rFonts w:ascii="仿宋_GB2312" w:eastAsia="仿宋_GB2312" w:hAnsi="Helvetica" w:cs="Helvetica" w:hint="eastAsia"/>
          <w:color w:val="333333"/>
          <w:kern w:val="0"/>
          <w:sz w:val="32"/>
          <w:szCs w:val="32"/>
        </w:rPr>
        <w:t>综合考虑经济增长、能效提升等因素，结合国家、省能源消费总量控制形势，到2025年，完成省下达的能源消费总量控制及煤炭消费压减任务，电力装机总量达到1090万千瓦左右，全社会用电量达到612亿千瓦时左右。</w:t>
      </w:r>
    </w:p>
    <w:p w14:paraId="5663BE9E"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2.优化能源结构。扩大清洁能源利用规模，提高非化石能源消费比重，推进煤炭消费压减。到2025年，煤炭消费比重下降至23.5%左右，煤电电量、清洁能源电量、市外电量占全社会用电量的比重优化到21.5%、27.0%、51.5%。</w:t>
      </w:r>
    </w:p>
    <w:p w14:paraId="4B949C99"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3.保障能源供给。拓展能源供给渠道，强化能源供给安全保障，进一步增强能源对经济社会发展的支撑作用。到2025年，电力供应、天然气接卸及输配、电煤储备等能源供给能力实现大幅提升。</w:t>
      </w:r>
    </w:p>
    <w:p w14:paraId="1F487453"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lastRenderedPageBreak/>
        <w:t>4.推进节能降碳。深挖</w:t>
      </w:r>
      <w:proofErr w:type="gramStart"/>
      <w:r w:rsidRPr="00F06EA8">
        <w:rPr>
          <w:rFonts w:ascii="仿宋_GB2312" w:eastAsia="仿宋_GB2312" w:hAnsi="Helvetica" w:cs="Helvetica" w:hint="eastAsia"/>
          <w:color w:val="333333"/>
          <w:kern w:val="0"/>
          <w:sz w:val="32"/>
          <w:szCs w:val="32"/>
        </w:rPr>
        <w:t>节能降碳潜力</w:t>
      </w:r>
      <w:proofErr w:type="gramEnd"/>
      <w:r w:rsidRPr="00F06EA8">
        <w:rPr>
          <w:rFonts w:ascii="仿宋_GB2312" w:eastAsia="仿宋_GB2312" w:hAnsi="Helvetica" w:cs="Helvetica" w:hint="eastAsia"/>
          <w:color w:val="333333"/>
          <w:kern w:val="0"/>
          <w:sz w:val="32"/>
          <w:szCs w:val="32"/>
        </w:rPr>
        <w:t>，提高综合能源利用效率，加快推进能源绿色高效发展。到2025年，完成省下达的单位地区生产总值能耗降低目标、单位地区生产总值二氧化碳排放降低目标。</w:t>
      </w:r>
    </w:p>
    <w:p w14:paraId="39A3465B" w14:textId="77777777" w:rsidR="00F06EA8" w:rsidRPr="00F06EA8" w:rsidRDefault="00F06EA8" w:rsidP="00F06EA8">
      <w:pPr>
        <w:widowControl/>
        <w:shd w:val="clear" w:color="auto" w:fill="FFFFFF"/>
        <w:spacing w:before="150" w:line="555" w:lineRule="atLeast"/>
        <w:jc w:val="center"/>
        <w:rPr>
          <w:rFonts w:ascii="Helvetica" w:eastAsia="宋体" w:hAnsi="Helvetica" w:cs="Helvetica"/>
          <w:color w:val="333333"/>
          <w:kern w:val="0"/>
          <w:sz w:val="24"/>
          <w:szCs w:val="24"/>
        </w:rPr>
      </w:pPr>
      <w:r w:rsidRPr="00F06EA8">
        <w:rPr>
          <w:rFonts w:ascii="黑体" w:eastAsia="黑体" w:hAnsi="黑体" w:cs="Helvetica" w:hint="eastAsia"/>
          <w:color w:val="333333"/>
          <w:kern w:val="0"/>
          <w:sz w:val="32"/>
          <w:szCs w:val="32"/>
        </w:rPr>
        <w:t>表2</w:t>
      </w:r>
      <w:r w:rsidRPr="00F06EA8">
        <w:rPr>
          <w:rFonts w:ascii="Calibri" w:eastAsia="黑体" w:hAnsi="Calibri" w:cs="Calibri"/>
          <w:color w:val="333333"/>
          <w:kern w:val="0"/>
          <w:sz w:val="32"/>
          <w:szCs w:val="32"/>
        </w:rPr>
        <w:t> </w:t>
      </w:r>
      <w:r w:rsidRPr="00F06EA8">
        <w:rPr>
          <w:rFonts w:ascii="黑体" w:eastAsia="黑体" w:hAnsi="黑体" w:cs="Helvetica" w:hint="eastAsia"/>
          <w:color w:val="333333"/>
          <w:kern w:val="0"/>
          <w:sz w:val="32"/>
          <w:szCs w:val="32"/>
        </w:rPr>
        <w:t xml:space="preserve"> 青岛市“十四五”能源发展主要目标</w:t>
      </w:r>
    </w:p>
    <w:tbl>
      <w:tblPr>
        <w:tblW w:w="4900" w:type="pct"/>
        <w:shd w:val="clear" w:color="auto" w:fill="FFFFFF"/>
        <w:tblCellMar>
          <w:left w:w="0" w:type="dxa"/>
          <w:right w:w="0" w:type="dxa"/>
        </w:tblCellMar>
        <w:tblLook w:val="04A0" w:firstRow="1" w:lastRow="0" w:firstColumn="1" w:lastColumn="0" w:noHBand="0" w:noVBand="1"/>
      </w:tblPr>
      <w:tblGrid>
        <w:gridCol w:w="886"/>
        <w:gridCol w:w="885"/>
        <w:gridCol w:w="885"/>
        <w:gridCol w:w="885"/>
        <w:gridCol w:w="885"/>
        <w:gridCol w:w="885"/>
        <w:gridCol w:w="885"/>
        <w:gridCol w:w="1043"/>
        <w:gridCol w:w="885"/>
      </w:tblGrid>
      <w:tr w:rsidR="00F06EA8" w:rsidRPr="00F06EA8" w14:paraId="01C895C5" w14:textId="77777777" w:rsidTr="00F06EA8">
        <w:trPr>
          <w:trHeight w:val="420"/>
          <w:tblHeader/>
        </w:trPr>
        <w:tc>
          <w:tcPr>
            <w:tcW w:w="135" w:type="dxa"/>
            <w:gridSpan w:val="2"/>
            <w:tcBorders>
              <w:top w:val="single" w:sz="6" w:space="0" w:color="auto"/>
              <w:left w:val="single" w:sz="6" w:space="0" w:color="auto"/>
              <w:bottom w:val="single" w:sz="6" w:space="0" w:color="auto"/>
              <w:right w:val="single" w:sz="6" w:space="0" w:color="auto"/>
            </w:tcBorders>
            <w:shd w:val="clear" w:color="auto" w:fill="D9D9D9"/>
            <w:tcMar>
              <w:top w:w="0" w:type="dxa"/>
              <w:left w:w="105" w:type="dxa"/>
              <w:bottom w:w="0" w:type="dxa"/>
              <w:right w:w="105" w:type="dxa"/>
            </w:tcMar>
            <w:vAlign w:val="center"/>
            <w:hideMark/>
          </w:tcPr>
          <w:p w14:paraId="47CEDF5C"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分类</w:t>
            </w:r>
          </w:p>
        </w:tc>
        <w:tc>
          <w:tcPr>
            <w:tcW w:w="90" w:type="dxa"/>
            <w:tcBorders>
              <w:top w:val="single" w:sz="6" w:space="0" w:color="auto"/>
              <w:left w:val="nil"/>
              <w:bottom w:val="single" w:sz="6" w:space="0" w:color="auto"/>
              <w:right w:val="single" w:sz="6" w:space="0" w:color="auto"/>
            </w:tcBorders>
            <w:shd w:val="clear" w:color="auto" w:fill="D9D9D9"/>
            <w:tcMar>
              <w:top w:w="0" w:type="dxa"/>
              <w:left w:w="105" w:type="dxa"/>
              <w:bottom w:w="0" w:type="dxa"/>
              <w:right w:w="105" w:type="dxa"/>
            </w:tcMar>
            <w:vAlign w:val="center"/>
            <w:hideMark/>
          </w:tcPr>
          <w:p w14:paraId="665B9F24" w14:textId="77777777" w:rsidR="00F06EA8" w:rsidRPr="00F06EA8" w:rsidRDefault="00F06EA8" w:rsidP="00F06EA8">
            <w:pPr>
              <w:widowControl/>
              <w:wordWrap w:val="0"/>
              <w:spacing w:line="36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序号</w:t>
            </w:r>
          </w:p>
        </w:tc>
        <w:tc>
          <w:tcPr>
            <w:tcW w:w="375" w:type="dxa"/>
            <w:tcBorders>
              <w:top w:val="single" w:sz="6" w:space="0" w:color="auto"/>
              <w:left w:val="nil"/>
              <w:bottom w:val="single" w:sz="6" w:space="0" w:color="auto"/>
              <w:right w:val="single" w:sz="6" w:space="0" w:color="auto"/>
            </w:tcBorders>
            <w:shd w:val="clear" w:color="auto" w:fill="D9D9D9"/>
            <w:tcMar>
              <w:top w:w="0" w:type="dxa"/>
              <w:left w:w="105" w:type="dxa"/>
              <w:bottom w:w="0" w:type="dxa"/>
              <w:right w:w="105" w:type="dxa"/>
            </w:tcMar>
            <w:vAlign w:val="center"/>
            <w:hideMark/>
          </w:tcPr>
          <w:p w14:paraId="63F5164C"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指标</w:t>
            </w:r>
          </w:p>
        </w:tc>
        <w:tc>
          <w:tcPr>
            <w:tcW w:w="165" w:type="dxa"/>
            <w:tcBorders>
              <w:top w:val="single" w:sz="6" w:space="0" w:color="auto"/>
              <w:left w:val="nil"/>
              <w:bottom w:val="single" w:sz="6" w:space="0" w:color="auto"/>
              <w:right w:val="single" w:sz="6" w:space="0" w:color="auto"/>
            </w:tcBorders>
            <w:shd w:val="clear" w:color="auto" w:fill="D9D9D9"/>
            <w:tcMar>
              <w:top w:w="0" w:type="dxa"/>
              <w:left w:w="105" w:type="dxa"/>
              <w:bottom w:w="0" w:type="dxa"/>
              <w:right w:w="105" w:type="dxa"/>
            </w:tcMar>
            <w:vAlign w:val="center"/>
            <w:hideMark/>
          </w:tcPr>
          <w:p w14:paraId="4C6542DE"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单位</w:t>
            </w:r>
          </w:p>
        </w:tc>
        <w:tc>
          <w:tcPr>
            <w:tcW w:w="165" w:type="dxa"/>
            <w:tcBorders>
              <w:top w:val="single" w:sz="6" w:space="0" w:color="auto"/>
              <w:left w:val="nil"/>
              <w:bottom w:val="single" w:sz="6" w:space="0" w:color="auto"/>
              <w:right w:val="single" w:sz="6" w:space="0" w:color="auto"/>
            </w:tcBorders>
            <w:shd w:val="clear" w:color="auto" w:fill="D9D9D9"/>
            <w:tcMar>
              <w:top w:w="0" w:type="dxa"/>
              <w:left w:w="105" w:type="dxa"/>
              <w:bottom w:w="0" w:type="dxa"/>
              <w:right w:w="105" w:type="dxa"/>
            </w:tcMar>
            <w:vAlign w:val="center"/>
            <w:hideMark/>
          </w:tcPr>
          <w:p w14:paraId="63C30FA5"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2020</w:t>
            </w:r>
            <w:r w:rsidRPr="00F06EA8">
              <w:rPr>
                <w:rFonts w:ascii="仿宋_GB2312" w:eastAsia="仿宋_GB2312" w:hAnsi="inherit" w:cs="Helvetica" w:hint="eastAsia"/>
                <w:color w:val="333333"/>
                <w:kern w:val="0"/>
                <w:sz w:val="24"/>
                <w:szCs w:val="24"/>
              </w:rPr>
              <w:t>年</w:t>
            </w:r>
          </w:p>
        </w:tc>
        <w:tc>
          <w:tcPr>
            <w:tcW w:w="210" w:type="dxa"/>
            <w:tcBorders>
              <w:top w:val="single" w:sz="6" w:space="0" w:color="auto"/>
              <w:left w:val="nil"/>
              <w:bottom w:val="single" w:sz="6" w:space="0" w:color="auto"/>
              <w:right w:val="single" w:sz="6" w:space="0" w:color="auto"/>
            </w:tcBorders>
            <w:shd w:val="clear" w:color="auto" w:fill="D9D9D9"/>
            <w:tcMar>
              <w:top w:w="0" w:type="dxa"/>
              <w:left w:w="105" w:type="dxa"/>
              <w:bottom w:w="0" w:type="dxa"/>
              <w:right w:w="105" w:type="dxa"/>
            </w:tcMar>
            <w:vAlign w:val="center"/>
            <w:hideMark/>
          </w:tcPr>
          <w:p w14:paraId="4D3C1458"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2025</w:t>
            </w:r>
            <w:r w:rsidRPr="00F06EA8">
              <w:rPr>
                <w:rFonts w:ascii="仿宋_GB2312" w:eastAsia="仿宋_GB2312" w:hAnsi="inherit" w:cs="Helvetica" w:hint="eastAsia"/>
                <w:color w:val="333333"/>
                <w:kern w:val="0"/>
                <w:sz w:val="24"/>
                <w:szCs w:val="24"/>
              </w:rPr>
              <w:t>年</w:t>
            </w:r>
          </w:p>
        </w:tc>
        <w:tc>
          <w:tcPr>
            <w:tcW w:w="135" w:type="dxa"/>
            <w:tcBorders>
              <w:top w:val="single" w:sz="6" w:space="0" w:color="auto"/>
              <w:left w:val="nil"/>
              <w:bottom w:val="single" w:sz="6" w:space="0" w:color="auto"/>
              <w:right w:val="single" w:sz="6" w:space="0" w:color="auto"/>
            </w:tcBorders>
            <w:shd w:val="clear" w:color="auto" w:fill="D9D9D9"/>
            <w:tcMar>
              <w:top w:w="0" w:type="dxa"/>
              <w:left w:w="105" w:type="dxa"/>
              <w:bottom w:w="0" w:type="dxa"/>
              <w:right w:w="105" w:type="dxa"/>
            </w:tcMar>
            <w:vAlign w:val="center"/>
            <w:hideMark/>
          </w:tcPr>
          <w:p w14:paraId="14E540EC" w14:textId="77777777" w:rsidR="00F06EA8" w:rsidRPr="00F06EA8" w:rsidRDefault="00F06EA8" w:rsidP="00F06EA8">
            <w:pPr>
              <w:widowControl/>
              <w:wordWrap w:val="0"/>
              <w:spacing w:line="36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年均</w:t>
            </w:r>
          </w:p>
          <w:p w14:paraId="39F8661E" w14:textId="77777777" w:rsidR="00F06EA8" w:rsidRPr="00F06EA8" w:rsidRDefault="00F06EA8" w:rsidP="00F06EA8">
            <w:pPr>
              <w:widowControl/>
              <w:wordWrap w:val="0"/>
              <w:spacing w:line="36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增长</w:t>
            </w:r>
          </w:p>
        </w:tc>
        <w:tc>
          <w:tcPr>
            <w:tcW w:w="165" w:type="dxa"/>
            <w:tcBorders>
              <w:top w:val="single" w:sz="6" w:space="0" w:color="auto"/>
              <w:left w:val="nil"/>
              <w:bottom w:val="single" w:sz="6" w:space="0" w:color="auto"/>
              <w:right w:val="single" w:sz="6" w:space="0" w:color="auto"/>
            </w:tcBorders>
            <w:shd w:val="clear" w:color="auto" w:fill="D9D9D9"/>
            <w:tcMar>
              <w:top w:w="0" w:type="dxa"/>
              <w:left w:w="105" w:type="dxa"/>
              <w:bottom w:w="0" w:type="dxa"/>
              <w:right w:w="105" w:type="dxa"/>
            </w:tcMar>
            <w:vAlign w:val="center"/>
            <w:hideMark/>
          </w:tcPr>
          <w:p w14:paraId="09725236"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属性</w:t>
            </w:r>
          </w:p>
        </w:tc>
      </w:tr>
      <w:tr w:rsidR="00F06EA8" w:rsidRPr="00F06EA8" w14:paraId="59553738" w14:textId="77777777" w:rsidTr="00F06EA8">
        <w:trPr>
          <w:trHeight w:val="675"/>
        </w:trPr>
        <w:tc>
          <w:tcPr>
            <w:tcW w:w="135" w:type="dxa"/>
            <w:gridSpan w:val="2"/>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07266A3B"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总量</w:t>
            </w:r>
          </w:p>
          <w:p w14:paraId="67C60DBC"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调控</w:t>
            </w:r>
          </w:p>
        </w:tc>
        <w:tc>
          <w:tcPr>
            <w:tcW w:w="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409CDE3"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w:t>
            </w:r>
          </w:p>
        </w:tc>
        <w:tc>
          <w:tcPr>
            <w:tcW w:w="3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72C5DE5"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能源消费总量</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C1B11A0" w14:textId="77777777" w:rsidR="00F06EA8" w:rsidRPr="00F06EA8" w:rsidRDefault="00F06EA8" w:rsidP="00F06EA8">
            <w:pPr>
              <w:widowControl/>
              <w:wordWrap w:val="0"/>
              <w:spacing w:line="36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万吨</w:t>
            </w:r>
          </w:p>
          <w:p w14:paraId="358015A5" w14:textId="77777777" w:rsidR="00F06EA8" w:rsidRPr="00F06EA8" w:rsidRDefault="00F06EA8" w:rsidP="00F06EA8">
            <w:pPr>
              <w:widowControl/>
              <w:wordWrap w:val="0"/>
              <w:spacing w:line="36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标准煤</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DCB31C9"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3187</w:t>
            </w:r>
            <w:r w:rsidRPr="00F06EA8">
              <w:rPr>
                <w:rFonts w:ascii="Times New Roman" w:eastAsia="宋体" w:hAnsi="Times New Roman" w:cs="Times New Roman"/>
                <w:color w:val="333333"/>
                <w:kern w:val="0"/>
                <w:sz w:val="24"/>
                <w:szCs w:val="24"/>
                <w:vertAlign w:val="superscript"/>
              </w:rPr>
              <w:t>*</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741B380" w14:textId="77777777" w:rsidR="00F06EA8" w:rsidRPr="00F06EA8" w:rsidRDefault="00F06EA8" w:rsidP="00F06EA8">
            <w:pPr>
              <w:widowControl/>
              <w:wordWrap w:val="0"/>
              <w:spacing w:line="36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完成省分解任务</w:t>
            </w:r>
          </w:p>
        </w:tc>
        <w:tc>
          <w:tcPr>
            <w:tcW w:w="1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E901A47"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94CFB65"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预期性</w:t>
            </w:r>
          </w:p>
        </w:tc>
      </w:tr>
      <w:tr w:rsidR="00F06EA8" w:rsidRPr="00F06EA8" w14:paraId="0555F040" w14:textId="77777777" w:rsidTr="00F06EA8">
        <w:trPr>
          <w:trHeight w:val="540"/>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14:paraId="35343DE7" w14:textId="77777777" w:rsidR="00F06EA8" w:rsidRPr="00F06EA8" w:rsidRDefault="00F06EA8" w:rsidP="00F06EA8">
            <w:pPr>
              <w:widowControl/>
              <w:jc w:val="left"/>
              <w:rPr>
                <w:rFonts w:ascii="inherit" w:eastAsia="宋体" w:hAnsi="inherit" w:cs="Helvetica"/>
                <w:color w:val="333333"/>
                <w:kern w:val="0"/>
                <w:sz w:val="24"/>
                <w:szCs w:val="24"/>
              </w:rPr>
            </w:pPr>
          </w:p>
        </w:tc>
        <w:tc>
          <w:tcPr>
            <w:tcW w:w="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037A99A"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w:t>
            </w:r>
          </w:p>
        </w:tc>
        <w:tc>
          <w:tcPr>
            <w:tcW w:w="3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27234E3"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煤炭消费量</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263CE4B"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万吨</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9EDE750"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1307</w:t>
            </w:r>
            <w:r w:rsidRPr="00F06EA8">
              <w:rPr>
                <w:rFonts w:ascii="Times New Roman" w:eastAsia="宋体" w:hAnsi="Times New Roman" w:cs="Times New Roman"/>
                <w:color w:val="333333"/>
                <w:kern w:val="0"/>
                <w:sz w:val="24"/>
                <w:szCs w:val="24"/>
                <w:vertAlign w:val="superscript"/>
              </w:rPr>
              <w:t>*</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6CFE0A0" w14:textId="77777777" w:rsidR="00F06EA8" w:rsidRPr="00F06EA8" w:rsidRDefault="00F06EA8" w:rsidP="00F06EA8">
            <w:pPr>
              <w:widowControl/>
              <w:wordWrap w:val="0"/>
              <w:spacing w:line="36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完成省分解任务</w:t>
            </w:r>
          </w:p>
        </w:tc>
        <w:tc>
          <w:tcPr>
            <w:tcW w:w="1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FE91791"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C39ED6A"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约束性</w:t>
            </w:r>
          </w:p>
        </w:tc>
      </w:tr>
      <w:tr w:rsidR="00F06EA8" w:rsidRPr="00F06EA8" w14:paraId="5DF2ADB0" w14:textId="77777777" w:rsidTr="00F06EA8">
        <w:trPr>
          <w:trHeight w:val="675"/>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14:paraId="4CEE7ABA" w14:textId="77777777" w:rsidR="00F06EA8" w:rsidRPr="00F06EA8" w:rsidRDefault="00F06EA8" w:rsidP="00F06EA8">
            <w:pPr>
              <w:widowControl/>
              <w:jc w:val="left"/>
              <w:rPr>
                <w:rFonts w:ascii="inherit" w:eastAsia="宋体" w:hAnsi="inherit" w:cs="Helvetica"/>
                <w:color w:val="333333"/>
                <w:kern w:val="0"/>
                <w:sz w:val="24"/>
                <w:szCs w:val="24"/>
              </w:rPr>
            </w:pPr>
          </w:p>
        </w:tc>
        <w:tc>
          <w:tcPr>
            <w:tcW w:w="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3E7033D"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3</w:t>
            </w:r>
          </w:p>
        </w:tc>
        <w:tc>
          <w:tcPr>
            <w:tcW w:w="3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0743AEB"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bookmarkStart w:id="1" w:name="_Hlk65802175"/>
            <w:bookmarkEnd w:id="1"/>
            <w:r w:rsidRPr="00F06EA8">
              <w:rPr>
                <w:rFonts w:ascii="仿宋_GB2312" w:eastAsia="仿宋_GB2312" w:hAnsi="inherit" w:cs="Helvetica" w:hint="eastAsia"/>
                <w:color w:val="333333"/>
                <w:kern w:val="0"/>
                <w:sz w:val="24"/>
                <w:szCs w:val="24"/>
              </w:rPr>
              <w:t>全社会用电量</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604F150" w14:textId="77777777" w:rsidR="00F06EA8" w:rsidRPr="00F06EA8" w:rsidRDefault="00F06EA8" w:rsidP="00F06EA8">
            <w:pPr>
              <w:widowControl/>
              <w:wordWrap w:val="0"/>
              <w:spacing w:line="36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亿千</w:t>
            </w:r>
          </w:p>
          <w:p w14:paraId="06AA366D" w14:textId="77777777" w:rsidR="00F06EA8" w:rsidRPr="00F06EA8" w:rsidRDefault="00F06EA8" w:rsidP="00F06EA8">
            <w:pPr>
              <w:widowControl/>
              <w:wordWrap w:val="0"/>
              <w:spacing w:line="36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瓦时</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AF6A096"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476.6</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27B82C4"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612</w:t>
            </w:r>
            <w:r w:rsidRPr="00F06EA8">
              <w:rPr>
                <w:rFonts w:ascii="仿宋_GB2312" w:eastAsia="仿宋_GB2312" w:hAnsi="inherit" w:cs="Helvetica" w:hint="eastAsia"/>
                <w:color w:val="333333"/>
                <w:kern w:val="0"/>
                <w:sz w:val="24"/>
                <w:szCs w:val="24"/>
              </w:rPr>
              <w:t>左右</w:t>
            </w:r>
          </w:p>
        </w:tc>
        <w:tc>
          <w:tcPr>
            <w:tcW w:w="1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75493A4"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5.1%</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2B0A68F"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预期性</w:t>
            </w:r>
          </w:p>
        </w:tc>
      </w:tr>
      <w:tr w:rsidR="00F06EA8" w:rsidRPr="00F06EA8" w14:paraId="069333F8" w14:textId="77777777" w:rsidTr="00F06EA8">
        <w:trPr>
          <w:trHeight w:val="480"/>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14:paraId="41FE2ECD" w14:textId="77777777" w:rsidR="00F06EA8" w:rsidRPr="00F06EA8" w:rsidRDefault="00F06EA8" w:rsidP="00F06EA8">
            <w:pPr>
              <w:widowControl/>
              <w:jc w:val="left"/>
              <w:rPr>
                <w:rFonts w:ascii="inherit" w:eastAsia="宋体" w:hAnsi="inherit" w:cs="Helvetica"/>
                <w:color w:val="333333"/>
                <w:kern w:val="0"/>
                <w:sz w:val="24"/>
                <w:szCs w:val="24"/>
              </w:rPr>
            </w:pPr>
          </w:p>
        </w:tc>
        <w:tc>
          <w:tcPr>
            <w:tcW w:w="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F563D99"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4</w:t>
            </w:r>
          </w:p>
        </w:tc>
        <w:tc>
          <w:tcPr>
            <w:tcW w:w="3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A85E93B"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电力装机总量</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E513D52"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proofErr w:type="gramStart"/>
            <w:r w:rsidRPr="00F06EA8">
              <w:rPr>
                <w:rFonts w:ascii="仿宋_GB2312" w:eastAsia="仿宋_GB2312" w:hAnsi="inherit" w:cs="Helvetica" w:hint="eastAsia"/>
                <w:color w:val="333333"/>
                <w:kern w:val="0"/>
                <w:sz w:val="24"/>
                <w:szCs w:val="24"/>
              </w:rPr>
              <w:t>万千瓦</w:t>
            </w:r>
            <w:proofErr w:type="gramEnd"/>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DAA582B"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622.8</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B053A3F"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1090</w:t>
            </w:r>
          </w:p>
        </w:tc>
        <w:tc>
          <w:tcPr>
            <w:tcW w:w="1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2984772"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11.9%</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6F9C1F9"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预期性</w:t>
            </w:r>
          </w:p>
        </w:tc>
      </w:tr>
      <w:tr w:rsidR="00F06EA8" w:rsidRPr="00F06EA8" w14:paraId="739809C6" w14:textId="77777777" w:rsidTr="00F06EA8">
        <w:trPr>
          <w:trHeight w:val="480"/>
        </w:trPr>
        <w:tc>
          <w:tcPr>
            <w:tcW w:w="6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83D61A5" w14:textId="77777777" w:rsidR="00F06EA8" w:rsidRPr="00F06EA8" w:rsidRDefault="00F06EA8" w:rsidP="00F06EA8">
            <w:pPr>
              <w:widowControl/>
              <w:wordWrap w:val="0"/>
              <w:spacing w:line="55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 </w:t>
            </w:r>
          </w:p>
          <w:p w14:paraId="45D7EBC1"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结构优化</w:t>
            </w:r>
          </w:p>
        </w:tc>
        <w:tc>
          <w:tcPr>
            <w:tcW w:w="6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77C2BC6"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能源结构</w:t>
            </w:r>
          </w:p>
        </w:tc>
        <w:tc>
          <w:tcPr>
            <w:tcW w:w="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1A80A8B"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5</w:t>
            </w:r>
          </w:p>
        </w:tc>
        <w:tc>
          <w:tcPr>
            <w:tcW w:w="3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6A95880"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煤炭消费比重</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9B516D2"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339347C"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28.8</w:t>
            </w:r>
            <w:r w:rsidRPr="00F06EA8">
              <w:rPr>
                <w:rFonts w:ascii="Times New Roman" w:eastAsia="宋体" w:hAnsi="Times New Roman" w:cs="Times New Roman"/>
                <w:color w:val="333333"/>
                <w:kern w:val="0"/>
                <w:sz w:val="24"/>
                <w:szCs w:val="24"/>
                <w:vertAlign w:val="superscript"/>
              </w:rPr>
              <w:t>*</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49F2362"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23.5</w:t>
            </w:r>
          </w:p>
        </w:tc>
        <w:tc>
          <w:tcPr>
            <w:tcW w:w="1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81D3222"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[-5.3]</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319106E"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约束性</w:t>
            </w:r>
          </w:p>
        </w:tc>
      </w:tr>
      <w:tr w:rsidR="00F06EA8" w:rsidRPr="00F06EA8" w14:paraId="01CB1757" w14:textId="77777777" w:rsidTr="00F06EA8">
        <w:trPr>
          <w:trHeight w:val="52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2ABBEB84" w14:textId="77777777" w:rsidR="00F06EA8" w:rsidRPr="00F06EA8" w:rsidRDefault="00F06EA8" w:rsidP="00F06EA8">
            <w:pPr>
              <w:widowControl/>
              <w:jc w:val="left"/>
              <w:rPr>
                <w:rFonts w:ascii="inherit" w:eastAsia="宋体" w:hAnsi="inherit" w:cs="Helvetica"/>
                <w:color w:val="333333"/>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14:paraId="0646F7CE" w14:textId="77777777" w:rsidR="00F06EA8" w:rsidRPr="00F06EA8" w:rsidRDefault="00F06EA8" w:rsidP="00F06EA8">
            <w:pPr>
              <w:widowControl/>
              <w:jc w:val="left"/>
              <w:rPr>
                <w:rFonts w:ascii="inherit" w:eastAsia="宋体" w:hAnsi="inherit" w:cs="Helvetica"/>
                <w:color w:val="333333"/>
                <w:kern w:val="0"/>
                <w:sz w:val="24"/>
                <w:szCs w:val="24"/>
              </w:rPr>
            </w:pPr>
          </w:p>
        </w:tc>
        <w:tc>
          <w:tcPr>
            <w:tcW w:w="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B9D4CEF"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6</w:t>
            </w:r>
          </w:p>
        </w:tc>
        <w:tc>
          <w:tcPr>
            <w:tcW w:w="3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C9D6862"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油品消费比重</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DBA3F50"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D1B8D05"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31.4</w:t>
            </w:r>
            <w:r w:rsidRPr="00F06EA8">
              <w:rPr>
                <w:rFonts w:ascii="Times New Roman" w:eastAsia="宋体" w:hAnsi="Times New Roman" w:cs="Times New Roman"/>
                <w:color w:val="333333"/>
                <w:kern w:val="0"/>
                <w:sz w:val="24"/>
                <w:szCs w:val="24"/>
                <w:vertAlign w:val="superscript"/>
              </w:rPr>
              <w:t>*</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4FDD20E"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27.5</w:t>
            </w:r>
          </w:p>
        </w:tc>
        <w:tc>
          <w:tcPr>
            <w:tcW w:w="1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87049BC"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[-3.9]</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6C9ABA9"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预期性</w:t>
            </w:r>
          </w:p>
        </w:tc>
      </w:tr>
      <w:tr w:rsidR="00F06EA8" w:rsidRPr="00F06EA8" w14:paraId="171276F4" w14:textId="77777777" w:rsidTr="00F06EA8">
        <w:trPr>
          <w:trHeight w:val="52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674B06C5" w14:textId="77777777" w:rsidR="00F06EA8" w:rsidRPr="00F06EA8" w:rsidRDefault="00F06EA8" w:rsidP="00F06EA8">
            <w:pPr>
              <w:widowControl/>
              <w:jc w:val="left"/>
              <w:rPr>
                <w:rFonts w:ascii="inherit" w:eastAsia="宋体" w:hAnsi="inherit" w:cs="Helvetica"/>
                <w:color w:val="333333"/>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14:paraId="444FAD2D" w14:textId="77777777" w:rsidR="00F06EA8" w:rsidRPr="00F06EA8" w:rsidRDefault="00F06EA8" w:rsidP="00F06EA8">
            <w:pPr>
              <w:widowControl/>
              <w:jc w:val="left"/>
              <w:rPr>
                <w:rFonts w:ascii="inherit" w:eastAsia="宋体" w:hAnsi="inherit" w:cs="Helvetica"/>
                <w:color w:val="333333"/>
                <w:kern w:val="0"/>
                <w:sz w:val="24"/>
                <w:szCs w:val="24"/>
              </w:rPr>
            </w:pPr>
          </w:p>
        </w:tc>
        <w:tc>
          <w:tcPr>
            <w:tcW w:w="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FB3809F"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7</w:t>
            </w:r>
          </w:p>
        </w:tc>
        <w:tc>
          <w:tcPr>
            <w:tcW w:w="3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45A3577"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天然气消费比重</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3C21109"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7147B4E"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8.6</w:t>
            </w:r>
            <w:r w:rsidRPr="00F06EA8">
              <w:rPr>
                <w:rFonts w:ascii="Times New Roman" w:eastAsia="宋体" w:hAnsi="Times New Roman" w:cs="Times New Roman"/>
                <w:color w:val="333333"/>
                <w:kern w:val="0"/>
                <w:sz w:val="24"/>
                <w:szCs w:val="24"/>
                <w:vertAlign w:val="superscript"/>
              </w:rPr>
              <w:t>*</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7CB550C"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16.9</w:t>
            </w:r>
          </w:p>
        </w:tc>
        <w:tc>
          <w:tcPr>
            <w:tcW w:w="1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E8A94FB"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[8.3]</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5826968"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预期性</w:t>
            </w:r>
          </w:p>
        </w:tc>
      </w:tr>
      <w:tr w:rsidR="00F06EA8" w:rsidRPr="00F06EA8" w14:paraId="2785E782" w14:textId="77777777" w:rsidTr="00F06EA8">
        <w:trPr>
          <w:trHeight w:val="67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3A6A1CA6" w14:textId="77777777" w:rsidR="00F06EA8" w:rsidRPr="00F06EA8" w:rsidRDefault="00F06EA8" w:rsidP="00F06EA8">
            <w:pPr>
              <w:widowControl/>
              <w:jc w:val="left"/>
              <w:rPr>
                <w:rFonts w:ascii="inherit" w:eastAsia="宋体" w:hAnsi="inherit" w:cs="Helvetica"/>
                <w:color w:val="333333"/>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14:paraId="13D9D404" w14:textId="77777777" w:rsidR="00F06EA8" w:rsidRPr="00F06EA8" w:rsidRDefault="00F06EA8" w:rsidP="00F06EA8">
            <w:pPr>
              <w:widowControl/>
              <w:jc w:val="left"/>
              <w:rPr>
                <w:rFonts w:ascii="inherit" w:eastAsia="宋体" w:hAnsi="inherit" w:cs="Helvetica"/>
                <w:color w:val="333333"/>
                <w:kern w:val="0"/>
                <w:sz w:val="24"/>
                <w:szCs w:val="24"/>
              </w:rPr>
            </w:pPr>
          </w:p>
        </w:tc>
        <w:tc>
          <w:tcPr>
            <w:tcW w:w="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6A74A69"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8</w:t>
            </w:r>
          </w:p>
        </w:tc>
        <w:tc>
          <w:tcPr>
            <w:tcW w:w="3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ADE7762" w14:textId="77777777" w:rsidR="00F06EA8" w:rsidRPr="00F06EA8" w:rsidRDefault="00F06EA8" w:rsidP="00F06EA8">
            <w:pPr>
              <w:widowControl/>
              <w:wordWrap w:val="0"/>
              <w:spacing w:line="36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非化石能源消费</w:t>
            </w:r>
          </w:p>
          <w:p w14:paraId="4396D141" w14:textId="77777777" w:rsidR="00F06EA8" w:rsidRPr="00F06EA8" w:rsidRDefault="00F06EA8" w:rsidP="00F06EA8">
            <w:pPr>
              <w:widowControl/>
              <w:wordWrap w:val="0"/>
              <w:spacing w:line="36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比重</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BE67EC3"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499B1A5"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9.5</w:t>
            </w:r>
            <w:r w:rsidRPr="00F06EA8">
              <w:rPr>
                <w:rFonts w:ascii="Times New Roman" w:eastAsia="宋体" w:hAnsi="Times New Roman" w:cs="Times New Roman"/>
                <w:color w:val="333333"/>
                <w:kern w:val="0"/>
                <w:sz w:val="24"/>
                <w:szCs w:val="24"/>
                <w:vertAlign w:val="superscript"/>
              </w:rPr>
              <w:t>*</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740C043"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15.0</w:t>
            </w:r>
            <w:r w:rsidRPr="00F06EA8">
              <w:rPr>
                <w:rFonts w:ascii="仿宋_GB2312" w:eastAsia="仿宋_GB2312" w:hAnsi="inherit" w:cs="Helvetica" w:hint="eastAsia"/>
                <w:color w:val="333333"/>
                <w:kern w:val="0"/>
                <w:sz w:val="24"/>
                <w:szCs w:val="24"/>
              </w:rPr>
              <w:t>左右</w:t>
            </w:r>
          </w:p>
        </w:tc>
        <w:tc>
          <w:tcPr>
            <w:tcW w:w="1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A1CA275"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[5.5]</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7912D5B"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预期性</w:t>
            </w:r>
          </w:p>
        </w:tc>
      </w:tr>
      <w:tr w:rsidR="00F06EA8" w:rsidRPr="00F06EA8" w14:paraId="01A51CFA" w14:textId="77777777" w:rsidTr="00F06EA8">
        <w:trPr>
          <w:trHeight w:val="49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570F2BD5" w14:textId="77777777" w:rsidR="00F06EA8" w:rsidRPr="00F06EA8" w:rsidRDefault="00F06EA8" w:rsidP="00F06EA8">
            <w:pPr>
              <w:widowControl/>
              <w:jc w:val="left"/>
              <w:rPr>
                <w:rFonts w:ascii="inherit" w:eastAsia="宋体" w:hAnsi="inherit" w:cs="Helvetica"/>
                <w:color w:val="333333"/>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14:paraId="7C1180C3" w14:textId="77777777" w:rsidR="00F06EA8" w:rsidRPr="00F06EA8" w:rsidRDefault="00F06EA8" w:rsidP="00F06EA8">
            <w:pPr>
              <w:widowControl/>
              <w:jc w:val="left"/>
              <w:rPr>
                <w:rFonts w:ascii="inherit" w:eastAsia="宋体" w:hAnsi="inherit" w:cs="Helvetica"/>
                <w:color w:val="333333"/>
                <w:kern w:val="0"/>
                <w:sz w:val="24"/>
                <w:szCs w:val="24"/>
              </w:rPr>
            </w:pPr>
          </w:p>
        </w:tc>
        <w:tc>
          <w:tcPr>
            <w:tcW w:w="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685B8BE"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9</w:t>
            </w:r>
          </w:p>
        </w:tc>
        <w:tc>
          <w:tcPr>
            <w:tcW w:w="3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30D2D43"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其他能源消费比重</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B8E2DD1"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88099E6"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21.7</w:t>
            </w:r>
            <w:r w:rsidRPr="00F06EA8">
              <w:rPr>
                <w:rFonts w:ascii="Times New Roman" w:eastAsia="宋体" w:hAnsi="Times New Roman" w:cs="Times New Roman"/>
                <w:color w:val="333333"/>
                <w:kern w:val="0"/>
                <w:sz w:val="24"/>
                <w:szCs w:val="24"/>
                <w:vertAlign w:val="superscript"/>
              </w:rPr>
              <w:t>*</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89CC07C"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17.1</w:t>
            </w:r>
          </w:p>
        </w:tc>
        <w:tc>
          <w:tcPr>
            <w:tcW w:w="1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09103CD"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[-4.6]</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64BB67F"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预期性</w:t>
            </w:r>
          </w:p>
        </w:tc>
      </w:tr>
      <w:tr w:rsidR="00F06EA8" w:rsidRPr="00F06EA8" w14:paraId="4C5AB944" w14:textId="77777777" w:rsidTr="00F06EA8">
        <w:trPr>
          <w:trHeight w:val="67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36555972" w14:textId="77777777" w:rsidR="00F06EA8" w:rsidRPr="00F06EA8" w:rsidRDefault="00F06EA8" w:rsidP="00F06EA8">
            <w:pPr>
              <w:widowControl/>
              <w:jc w:val="left"/>
              <w:rPr>
                <w:rFonts w:ascii="inherit" w:eastAsia="宋体" w:hAnsi="inherit" w:cs="Helvetica"/>
                <w:color w:val="333333"/>
                <w:kern w:val="0"/>
                <w:sz w:val="24"/>
                <w:szCs w:val="24"/>
              </w:rPr>
            </w:pPr>
          </w:p>
        </w:tc>
        <w:tc>
          <w:tcPr>
            <w:tcW w:w="6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3552DDB" w14:textId="77777777" w:rsidR="00F06EA8" w:rsidRPr="00F06EA8" w:rsidRDefault="00F06EA8" w:rsidP="00F06EA8">
            <w:pPr>
              <w:widowControl/>
              <w:wordWrap w:val="0"/>
              <w:spacing w:line="55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电力结构</w:t>
            </w:r>
          </w:p>
        </w:tc>
        <w:tc>
          <w:tcPr>
            <w:tcW w:w="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5CCD56A"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10</w:t>
            </w:r>
          </w:p>
        </w:tc>
        <w:tc>
          <w:tcPr>
            <w:tcW w:w="3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E243FD1" w14:textId="77777777" w:rsidR="00F06EA8" w:rsidRPr="00F06EA8" w:rsidRDefault="00F06EA8" w:rsidP="00F06EA8">
            <w:pPr>
              <w:widowControl/>
              <w:wordWrap w:val="0"/>
              <w:spacing w:line="36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煤电电量占全社会用电量比重</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FB10C84"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63A0AC2"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26.4</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BBB700C"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21.5</w:t>
            </w:r>
          </w:p>
        </w:tc>
        <w:tc>
          <w:tcPr>
            <w:tcW w:w="1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0C63F59"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[-4.9]</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078FBA5"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预期性</w:t>
            </w:r>
          </w:p>
        </w:tc>
      </w:tr>
      <w:tr w:rsidR="00F06EA8" w:rsidRPr="00F06EA8" w14:paraId="37CB56BC" w14:textId="77777777" w:rsidTr="00F06EA8">
        <w:trPr>
          <w:trHeight w:val="67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4F824037" w14:textId="77777777" w:rsidR="00F06EA8" w:rsidRPr="00F06EA8" w:rsidRDefault="00F06EA8" w:rsidP="00F06EA8">
            <w:pPr>
              <w:widowControl/>
              <w:jc w:val="left"/>
              <w:rPr>
                <w:rFonts w:ascii="inherit" w:eastAsia="宋体" w:hAnsi="inherit" w:cs="Helvetica"/>
                <w:color w:val="333333"/>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14:paraId="52E66801" w14:textId="77777777" w:rsidR="00F06EA8" w:rsidRPr="00F06EA8" w:rsidRDefault="00F06EA8" w:rsidP="00F06EA8">
            <w:pPr>
              <w:widowControl/>
              <w:jc w:val="left"/>
              <w:rPr>
                <w:rFonts w:ascii="inherit" w:eastAsia="宋体" w:hAnsi="inherit" w:cs="Helvetica"/>
                <w:color w:val="333333"/>
                <w:kern w:val="0"/>
                <w:sz w:val="24"/>
                <w:szCs w:val="24"/>
              </w:rPr>
            </w:pPr>
          </w:p>
        </w:tc>
        <w:tc>
          <w:tcPr>
            <w:tcW w:w="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C30C906"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11</w:t>
            </w:r>
          </w:p>
        </w:tc>
        <w:tc>
          <w:tcPr>
            <w:tcW w:w="3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69CE324" w14:textId="77777777" w:rsidR="00F06EA8" w:rsidRPr="00F06EA8" w:rsidRDefault="00F06EA8" w:rsidP="00F06EA8">
            <w:pPr>
              <w:widowControl/>
              <w:wordWrap w:val="0"/>
              <w:spacing w:line="36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清洁能源电量占全社会用电</w:t>
            </w:r>
            <w:r w:rsidRPr="00F06EA8">
              <w:rPr>
                <w:rFonts w:ascii="仿宋_GB2312" w:eastAsia="仿宋_GB2312" w:hAnsi="inherit" w:cs="Helvetica" w:hint="eastAsia"/>
                <w:color w:val="333333"/>
                <w:kern w:val="0"/>
                <w:sz w:val="24"/>
                <w:szCs w:val="24"/>
              </w:rPr>
              <w:lastRenderedPageBreak/>
              <w:t>量比重</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BC2AE92"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lastRenderedPageBreak/>
              <w:t>%</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6B016B8"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13.6</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C64581A"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27.0</w:t>
            </w:r>
          </w:p>
        </w:tc>
        <w:tc>
          <w:tcPr>
            <w:tcW w:w="1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094AD52"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[13.4]</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2C9EE65"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预期性</w:t>
            </w:r>
          </w:p>
        </w:tc>
      </w:tr>
      <w:tr w:rsidR="00F06EA8" w:rsidRPr="00F06EA8" w14:paraId="346BA91A" w14:textId="77777777" w:rsidTr="00F06EA8">
        <w:trPr>
          <w:trHeight w:val="67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0ECB2D10" w14:textId="77777777" w:rsidR="00F06EA8" w:rsidRPr="00F06EA8" w:rsidRDefault="00F06EA8" w:rsidP="00F06EA8">
            <w:pPr>
              <w:widowControl/>
              <w:jc w:val="left"/>
              <w:rPr>
                <w:rFonts w:ascii="inherit" w:eastAsia="宋体" w:hAnsi="inherit" w:cs="Helvetica"/>
                <w:color w:val="333333"/>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14:paraId="238C6C39" w14:textId="77777777" w:rsidR="00F06EA8" w:rsidRPr="00F06EA8" w:rsidRDefault="00F06EA8" w:rsidP="00F06EA8">
            <w:pPr>
              <w:widowControl/>
              <w:jc w:val="left"/>
              <w:rPr>
                <w:rFonts w:ascii="inherit" w:eastAsia="宋体" w:hAnsi="inherit" w:cs="Helvetica"/>
                <w:color w:val="333333"/>
                <w:kern w:val="0"/>
                <w:sz w:val="24"/>
                <w:szCs w:val="24"/>
              </w:rPr>
            </w:pPr>
          </w:p>
        </w:tc>
        <w:tc>
          <w:tcPr>
            <w:tcW w:w="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D207D07"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12</w:t>
            </w:r>
          </w:p>
        </w:tc>
        <w:tc>
          <w:tcPr>
            <w:tcW w:w="3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26969D5" w14:textId="77777777" w:rsidR="00F06EA8" w:rsidRPr="00F06EA8" w:rsidRDefault="00F06EA8" w:rsidP="00F06EA8">
            <w:pPr>
              <w:widowControl/>
              <w:wordWrap w:val="0"/>
              <w:spacing w:line="36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市外电量占全社会用电量比重</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10DE69F"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D553E39"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60.0</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A40F016"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51.5</w:t>
            </w:r>
          </w:p>
        </w:tc>
        <w:tc>
          <w:tcPr>
            <w:tcW w:w="1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847850A"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[-8.5]</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AC78CA6"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预期性</w:t>
            </w:r>
          </w:p>
        </w:tc>
      </w:tr>
      <w:tr w:rsidR="00F06EA8" w:rsidRPr="00F06EA8" w14:paraId="52FFF5A4" w14:textId="77777777" w:rsidTr="00F06EA8">
        <w:trPr>
          <w:trHeight w:val="675"/>
        </w:trPr>
        <w:tc>
          <w:tcPr>
            <w:tcW w:w="135" w:type="dxa"/>
            <w:gridSpan w:val="2"/>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1431A65"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节能</w:t>
            </w:r>
          </w:p>
          <w:p w14:paraId="26586744"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proofErr w:type="gramStart"/>
            <w:r w:rsidRPr="00F06EA8">
              <w:rPr>
                <w:rFonts w:ascii="仿宋_GB2312" w:eastAsia="仿宋_GB2312" w:hAnsi="inherit" w:cs="Helvetica" w:hint="eastAsia"/>
                <w:color w:val="333333"/>
                <w:kern w:val="0"/>
                <w:sz w:val="24"/>
                <w:szCs w:val="24"/>
              </w:rPr>
              <w:t>降碳</w:t>
            </w:r>
            <w:proofErr w:type="gramEnd"/>
          </w:p>
        </w:tc>
        <w:tc>
          <w:tcPr>
            <w:tcW w:w="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87E55A0"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13</w:t>
            </w:r>
          </w:p>
        </w:tc>
        <w:tc>
          <w:tcPr>
            <w:tcW w:w="3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1A79E44" w14:textId="77777777" w:rsidR="00F06EA8" w:rsidRPr="00F06EA8" w:rsidRDefault="00F06EA8" w:rsidP="00F06EA8">
            <w:pPr>
              <w:widowControl/>
              <w:wordWrap w:val="0"/>
              <w:spacing w:line="36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单位地区生产总值能耗降低</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66F4096"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50DA8EF"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[21.5]</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816CEFD" w14:textId="77777777" w:rsidR="00F06EA8" w:rsidRPr="00F06EA8" w:rsidRDefault="00F06EA8" w:rsidP="00F06EA8">
            <w:pPr>
              <w:widowControl/>
              <w:wordWrap w:val="0"/>
              <w:spacing w:line="36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完成省分解任务</w:t>
            </w:r>
          </w:p>
        </w:tc>
        <w:tc>
          <w:tcPr>
            <w:tcW w:w="1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E0F848B"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45CB105"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约束性</w:t>
            </w:r>
          </w:p>
        </w:tc>
      </w:tr>
      <w:tr w:rsidR="00F06EA8" w:rsidRPr="00F06EA8" w14:paraId="02E29B71" w14:textId="77777777" w:rsidTr="00F06EA8">
        <w:trPr>
          <w:trHeight w:val="675"/>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14:paraId="407F72D7" w14:textId="77777777" w:rsidR="00F06EA8" w:rsidRPr="00F06EA8" w:rsidRDefault="00F06EA8" w:rsidP="00F06EA8">
            <w:pPr>
              <w:widowControl/>
              <w:jc w:val="left"/>
              <w:rPr>
                <w:rFonts w:ascii="inherit" w:eastAsia="宋体" w:hAnsi="inherit" w:cs="Helvetica"/>
                <w:color w:val="333333"/>
                <w:kern w:val="0"/>
                <w:sz w:val="24"/>
                <w:szCs w:val="24"/>
              </w:rPr>
            </w:pPr>
          </w:p>
        </w:tc>
        <w:tc>
          <w:tcPr>
            <w:tcW w:w="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46568E9"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14</w:t>
            </w:r>
          </w:p>
        </w:tc>
        <w:tc>
          <w:tcPr>
            <w:tcW w:w="3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176A56F" w14:textId="77777777" w:rsidR="00F06EA8" w:rsidRPr="00F06EA8" w:rsidRDefault="00F06EA8" w:rsidP="00F06EA8">
            <w:pPr>
              <w:widowControl/>
              <w:wordWrap w:val="0"/>
              <w:spacing w:line="36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单位地区生产总值二氧化碳排放降低</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FB577A7"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FBC23E7"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Times New Roman" w:eastAsia="宋体" w:hAnsi="Times New Roman" w:cs="Times New Roman"/>
                <w:color w:val="333333"/>
                <w:kern w:val="0"/>
                <w:sz w:val="24"/>
                <w:szCs w:val="24"/>
              </w:rPr>
              <w:t>[27</w:t>
            </w:r>
            <w:r w:rsidRPr="00F06EA8">
              <w:rPr>
                <w:rFonts w:ascii="Times New Roman" w:eastAsia="宋体" w:hAnsi="Times New Roman" w:cs="Times New Roman"/>
                <w:color w:val="333333"/>
                <w:kern w:val="0"/>
                <w:sz w:val="24"/>
                <w:szCs w:val="24"/>
                <w:vertAlign w:val="superscript"/>
              </w:rPr>
              <w:t>*</w:t>
            </w:r>
            <w:r w:rsidRPr="00F06EA8">
              <w:rPr>
                <w:rFonts w:ascii="Times New Roman" w:eastAsia="宋体" w:hAnsi="Times New Roman" w:cs="Times New Roman"/>
                <w:color w:val="333333"/>
                <w:kern w:val="0"/>
                <w:sz w:val="24"/>
                <w:szCs w:val="24"/>
              </w:rPr>
              <w:t>]</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FBA0D7E" w14:textId="77777777" w:rsidR="00F06EA8" w:rsidRPr="00F06EA8" w:rsidRDefault="00F06EA8" w:rsidP="00F06EA8">
            <w:pPr>
              <w:widowControl/>
              <w:wordWrap w:val="0"/>
              <w:spacing w:line="360"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完成省分解任务</w:t>
            </w:r>
          </w:p>
        </w:tc>
        <w:tc>
          <w:tcPr>
            <w:tcW w:w="1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FA45391"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w:t>
            </w:r>
          </w:p>
        </w:tc>
        <w:tc>
          <w:tcPr>
            <w:tcW w:w="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E26D5BE"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约束性</w:t>
            </w:r>
          </w:p>
        </w:tc>
      </w:tr>
      <w:tr w:rsidR="00F06EA8" w:rsidRPr="00F06EA8" w14:paraId="0DD6160B" w14:textId="77777777" w:rsidTr="00F06EA8">
        <w:trPr>
          <w:trHeight w:val="570"/>
        </w:trPr>
        <w:tc>
          <w:tcPr>
            <w:tcW w:w="1500" w:type="dxa"/>
            <w:gridSpan w:val="9"/>
            <w:tcBorders>
              <w:top w:val="nil"/>
              <w:left w:val="nil"/>
              <w:bottom w:val="nil"/>
              <w:right w:val="nil"/>
            </w:tcBorders>
            <w:shd w:val="clear" w:color="auto" w:fill="auto"/>
            <w:tcMar>
              <w:top w:w="0" w:type="dxa"/>
              <w:left w:w="105" w:type="dxa"/>
              <w:bottom w:w="0" w:type="dxa"/>
              <w:right w:w="105" w:type="dxa"/>
            </w:tcMar>
            <w:vAlign w:val="center"/>
            <w:hideMark/>
          </w:tcPr>
          <w:p w14:paraId="4A71E11E" w14:textId="77777777" w:rsidR="00F06EA8" w:rsidRPr="00F06EA8" w:rsidRDefault="00F06EA8" w:rsidP="00F06EA8">
            <w:pPr>
              <w:widowControl/>
              <w:wordWrap w:val="0"/>
              <w:spacing w:line="405" w:lineRule="atLeast"/>
              <w:ind w:left="600"/>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注：</w:t>
            </w:r>
            <w:r w:rsidRPr="00F06EA8">
              <w:rPr>
                <w:rFonts w:ascii="Times New Roman" w:eastAsia="宋体" w:hAnsi="Times New Roman" w:cs="Times New Roman"/>
                <w:color w:val="333333"/>
                <w:kern w:val="0"/>
                <w:sz w:val="24"/>
                <w:szCs w:val="24"/>
              </w:rPr>
              <w:t>1.</w:t>
            </w:r>
            <w:r w:rsidRPr="00F06EA8">
              <w:rPr>
                <w:rFonts w:ascii="仿宋_GB2312" w:eastAsia="仿宋_GB2312" w:hAnsi="inherit" w:cs="Helvetica" w:hint="eastAsia"/>
                <w:color w:val="333333"/>
                <w:kern w:val="0"/>
                <w:sz w:val="24"/>
                <w:szCs w:val="24"/>
              </w:rPr>
              <w:t>标注</w:t>
            </w:r>
            <w:r w:rsidRPr="00F06EA8">
              <w:rPr>
                <w:rFonts w:ascii="Times New Roman" w:eastAsia="宋体" w:hAnsi="Times New Roman" w:cs="Times New Roman"/>
                <w:color w:val="333333"/>
                <w:kern w:val="0"/>
                <w:sz w:val="24"/>
                <w:szCs w:val="24"/>
              </w:rPr>
              <w:t>*</w:t>
            </w:r>
            <w:r w:rsidRPr="00F06EA8">
              <w:rPr>
                <w:rFonts w:ascii="仿宋_GB2312" w:eastAsia="仿宋_GB2312" w:hAnsi="inherit" w:cs="Helvetica" w:hint="eastAsia"/>
                <w:color w:val="333333"/>
                <w:kern w:val="0"/>
                <w:sz w:val="24"/>
                <w:szCs w:val="24"/>
              </w:rPr>
              <w:t>为</w:t>
            </w:r>
            <w:r w:rsidRPr="00F06EA8">
              <w:rPr>
                <w:rFonts w:ascii="Times New Roman" w:eastAsia="宋体" w:hAnsi="Times New Roman" w:cs="Times New Roman"/>
                <w:color w:val="333333"/>
                <w:kern w:val="0"/>
                <w:sz w:val="24"/>
                <w:szCs w:val="24"/>
              </w:rPr>
              <w:t>2020</w:t>
            </w:r>
            <w:r w:rsidRPr="00F06EA8">
              <w:rPr>
                <w:rFonts w:ascii="仿宋_GB2312" w:eastAsia="仿宋_GB2312" w:hAnsi="inherit" w:cs="Helvetica" w:hint="eastAsia"/>
                <w:color w:val="333333"/>
                <w:kern w:val="0"/>
                <w:sz w:val="24"/>
                <w:szCs w:val="24"/>
              </w:rPr>
              <w:t>年预计数据；</w:t>
            </w:r>
            <w:r w:rsidRPr="00F06EA8">
              <w:rPr>
                <w:rFonts w:ascii="Times New Roman" w:eastAsia="宋体" w:hAnsi="Times New Roman" w:cs="Times New Roman"/>
                <w:color w:val="333333"/>
                <w:kern w:val="0"/>
                <w:sz w:val="24"/>
                <w:szCs w:val="24"/>
              </w:rPr>
              <w:t>2.[  ]</w:t>
            </w:r>
            <w:r w:rsidRPr="00F06EA8">
              <w:rPr>
                <w:rFonts w:ascii="仿宋_GB2312" w:eastAsia="仿宋_GB2312" w:hAnsi="inherit" w:cs="Helvetica" w:hint="eastAsia"/>
                <w:color w:val="333333"/>
                <w:kern w:val="0"/>
                <w:sz w:val="24"/>
                <w:szCs w:val="24"/>
              </w:rPr>
              <w:t>内为累计值；</w:t>
            </w:r>
            <w:r w:rsidRPr="00F06EA8">
              <w:rPr>
                <w:rFonts w:ascii="Times New Roman" w:eastAsia="宋体" w:hAnsi="Times New Roman" w:cs="Times New Roman"/>
                <w:color w:val="333333"/>
                <w:kern w:val="0"/>
                <w:sz w:val="24"/>
                <w:szCs w:val="24"/>
              </w:rPr>
              <w:t>3.</w:t>
            </w:r>
            <w:r w:rsidRPr="00F06EA8">
              <w:rPr>
                <w:rFonts w:ascii="仿宋_GB2312" w:eastAsia="仿宋_GB2312" w:hAnsi="inherit" w:cs="Helvetica" w:hint="eastAsia"/>
                <w:color w:val="333333"/>
                <w:kern w:val="0"/>
                <w:sz w:val="24"/>
                <w:szCs w:val="24"/>
              </w:rPr>
              <w:t>非化石能源消费为预计数据，</w:t>
            </w:r>
            <w:proofErr w:type="gramStart"/>
            <w:r w:rsidRPr="00F06EA8">
              <w:rPr>
                <w:rFonts w:ascii="仿宋_GB2312" w:eastAsia="仿宋_GB2312" w:hAnsi="inherit" w:cs="Helvetica" w:hint="eastAsia"/>
                <w:color w:val="333333"/>
                <w:kern w:val="0"/>
                <w:sz w:val="24"/>
                <w:szCs w:val="24"/>
              </w:rPr>
              <w:t>非统计</w:t>
            </w:r>
            <w:proofErr w:type="gramEnd"/>
            <w:r w:rsidRPr="00F06EA8">
              <w:rPr>
                <w:rFonts w:ascii="仿宋_GB2312" w:eastAsia="仿宋_GB2312" w:hAnsi="inherit" w:cs="Helvetica" w:hint="eastAsia"/>
                <w:color w:val="333333"/>
                <w:kern w:val="0"/>
                <w:sz w:val="24"/>
                <w:szCs w:val="24"/>
              </w:rPr>
              <w:t>口径；</w:t>
            </w:r>
            <w:r w:rsidRPr="00F06EA8">
              <w:rPr>
                <w:rFonts w:ascii="Times New Roman" w:eastAsia="宋体" w:hAnsi="Times New Roman" w:cs="Times New Roman"/>
                <w:color w:val="333333"/>
                <w:kern w:val="0"/>
                <w:sz w:val="24"/>
                <w:szCs w:val="24"/>
              </w:rPr>
              <w:t>4.</w:t>
            </w:r>
            <w:r w:rsidRPr="00F06EA8">
              <w:rPr>
                <w:rFonts w:ascii="仿宋_GB2312" w:eastAsia="仿宋_GB2312" w:hAnsi="inherit" w:cs="Helvetica" w:hint="eastAsia"/>
                <w:color w:val="333333"/>
                <w:kern w:val="0"/>
                <w:sz w:val="24"/>
                <w:szCs w:val="24"/>
              </w:rPr>
              <w:t>其他能源消费是指外电中化石能源电量。</w:t>
            </w:r>
          </w:p>
        </w:tc>
      </w:tr>
    </w:tbl>
    <w:p w14:paraId="69185BD1" w14:textId="77777777" w:rsidR="00F06EA8" w:rsidRPr="00F06EA8" w:rsidRDefault="00F06EA8" w:rsidP="00F06EA8">
      <w:pPr>
        <w:widowControl/>
        <w:shd w:val="clear" w:color="auto" w:fill="FFFFFF"/>
        <w:spacing w:before="150"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展望2035年，能源消费总量实现科学有效控制，单位地区生产总值能耗水平保持全国前列。能源消费结构进一步优化，化石能源实现清洁高效利用；二氧化碳排放达峰后稳中有降，为实现“碳中和”奠定良好基础。能源供给侧多元化清洁能源供给体系基本建成，能源消费侧电气化</w:t>
      </w:r>
      <w:r w:rsidRPr="00F06EA8">
        <w:rPr>
          <w:rFonts w:ascii="仿宋_GB2312" w:eastAsia="仿宋_GB2312" w:hAnsi="Helvetica" w:cs="Helvetica" w:hint="eastAsia"/>
          <w:color w:val="333333"/>
          <w:kern w:val="0"/>
          <w:sz w:val="32"/>
          <w:szCs w:val="32"/>
        </w:rPr>
        <w:lastRenderedPageBreak/>
        <w:t>和节能增效全面推进。能源技术创新体系更加完善，科技支撑和引领作用显著增强，能源科技产业规模持续壮大。现代能源市场体制更加成熟完善。清洁低碳、安全高效的现代能源体系全面建成，为打造具有较强影响力的现代化国际大都市提供坚实保障。</w:t>
      </w:r>
    </w:p>
    <w:p w14:paraId="66874720" w14:textId="77777777" w:rsidR="00F06EA8" w:rsidRPr="00F06EA8" w:rsidRDefault="00F06EA8" w:rsidP="00F06EA8">
      <w:pPr>
        <w:widowControl/>
        <w:shd w:val="clear" w:color="auto" w:fill="FFFFFF"/>
        <w:spacing w:line="555" w:lineRule="atLeast"/>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    </w:t>
      </w:r>
      <w:r w:rsidRPr="00F06EA8">
        <w:rPr>
          <w:rFonts w:ascii="黑体" w:eastAsia="黑体" w:hAnsi="黑体" w:cs="Helvetica" w:hint="eastAsia"/>
          <w:color w:val="333333"/>
          <w:kern w:val="0"/>
          <w:sz w:val="32"/>
          <w:szCs w:val="32"/>
        </w:rPr>
        <w:t>三、主要任务和建设重点</w:t>
      </w:r>
    </w:p>
    <w:p w14:paraId="6EC08D89"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楷体_GB2312" w:eastAsia="楷体_GB2312" w:hAnsi="Helvetica" w:cs="Helvetica" w:hint="eastAsia"/>
          <w:color w:val="333333"/>
          <w:kern w:val="0"/>
          <w:sz w:val="32"/>
          <w:szCs w:val="32"/>
        </w:rPr>
        <w:t>（一）加快清洁低碳转型，促进能源结构优化。</w:t>
      </w:r>
      <w:r w:rsidRPr="00F06EA8">
        <w:rPr>
          <w:rFonts w:ascii="仿宋_GB2312" w:eastAsia="仿宋_GB2312" w:hAnsi="Helvetica" w:cs="Helvetica" w:hint="eastAsia"/>
          <w:color w:val="333333"/>
          <w:kern w:val="0"/>
          <w:sz w:val="32"/>
          <w:szCs w:val="32"/>
        </w:rPr>
        <w:t>立足本地资源禀赋，大力实施可再生能源倍增、清洁能源替代、煤炭消费压减等“三大计划”，推进能源结构持续优化，实现能源消费增量主要由清洁能源供给、电力消费增量主要由清洁电力供应。</w:t>
      </w:r>
    </w:p>
    <w:p w14:paraId="6C02A4B9"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1.实施可再生能源倍增计划。以风电、光伏发电为重点，以生物质能、海洋能、地热能等为补充，推动可再生能源多元化、协同化、规模化发展，扩大可再生能源应用。到2025年，可再生能源装机容量新增270万千瓦左右，总装机容量达到523万千瓦左右，占电力总装机的比重提升至48%左右。</w:t>
      </w:r>
    </w:p>
    <w:p w14:paraId="3C763309"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风电。一是根据省统一规划部署，加快推进海上风电发展。2025年前，启动百万千瓦级海上风电场建设，实现我市海上风电开发建设零的突破。发挥深海资源优势，打造千亿级海上风电产业集群。以海上风电开发建设为契机，推动大型风电整机装备及关键部件制造产业发展，构</w:t>
      </w:r>
      <w:r w:rsidRPr="00F06EA8">
        <w:rPr>
          <w:rFonts w:ascii="仿宋_GB2312" w:eastAsia="仿宋_GB2312" w:hAnsi="Helvetica" w:cs="Helvetica" w:hint="eastAsia"/>
          <w:color w:val="333333"/>
          <w:kern w:val="0"/>
          <w:sz w:val="32"/>
          <w:szCs w:val="32"/>
        </w:rPr>
        <w:lastRenderedPageBreak/>
        <w:t>建海上风电设计、施工、运维、电网等全产业链一体化发展格局，全力打造海上风电母港。推进“海上风电</w:t>
      </w:r>
      <w:r w:rsidRPr="00F06EA8">
        <w:rPr>
          <w:rFonts w:ascii="Times New Roman" w:eastAsia="宋体" w:hAnsi="Times New Roman" w:cs="Times New Roman"/>
          <w:color w:val="333333"/>
          <w:kern w:val="0"/>
          <w:sz w:val="32"/>
          <w:szCs w:val="32"/>
        </w:rPr>
        <w:t>+</w:t>
      </w:r>
      <w:r w:rsidRPr="00F06EA8">
        <w:rPr>
          <w:rFonts w:ascii="仿宋_GB2312" w:eastAsia="仿宋_GB2312" w:hAnsi="Helvetica" w:cs="Helvetica" w:hint="eastAsia"/>
          <w:color w:val="333333"/>
          <w:kern w:val="0"/>
          <w:sz w:val="32"/>
          <w:szCs w:val="32"/>
        </w:rPr>
        <w:t>”行动，探索开展海上风电与海洋牧场、制氢、储能、海洋能等产业融合创新发展示范，推动海上风电向规模化、多元化、高效化、智能化方向发展。二是坚持陆海统筹，有序发展陆上风电。着力推进青岛西海岸新区、胶州市、平度市、莱西市陆上风</w:t>
      </w:r>
      <w:proofErr w:type="gramStart"/>
      <w:r w:rsidRPr="00F06EA8">
        <w:rPr>
          <w:rFonts w:ascii="仿宋_GB2312" w:eastAsia="仿宋_GB2312" w:hAnsi="Helvetica" w:cs="Helvetica" w:hint="eastAsia"/>
          <w:color w:val="333333"/>
          <w:kern w:val="0"/>
          <w:sz w:val="32"/>
          <w:szCs w:val="32"/>
        </w:rPr>
        <w:t>电应用</w:t>
      </w:r>
      <w:proofErr w:type="gramEnd"/>
      <w:r w:rsidRPr="00F06EA8">
        <w:rPr>
          <w:rFonts w:ascii="仿宋_GB2312" w:eastAsia="仿宋_GB2312" w:hAnsi="Helvetica" w:cs="Helvetica" w:hint="eastAsia"/>
          <w:color w:val="333333"/>
          <w:kern w:val="0"/>
          <w:sz w:val="32"/>
          <w:szCs w:val="32"/>
        </w:rPr>
        <w:t>示范，推动华润新能源胶州分散式风电、</w:t>
      </w:r>
      <w:proofErr w:type="gramStart"/>
      <w:r w:rsidRPr="00F06EA8">
        <w:rPr>
          <w:rFonts w:ascii="仿宋_GB2312" w:eastAsia="仿宋_GB2312" w:hAnsi="Helvetica" w:cs="Helvetica" w:hint="eastAsia"/>
          <w:color w:val="333333"/>
          <w:kern w:val="0"/>
          <w:sz w:val="32"/>
          <w:szCs w:val="32"/>
        </w:rPr>
        <w:t>铁投能源</w:t>
      </w:r>
      <w:proofErr w:type="gramEnd"/>
      <w:r w:rsidRPr="00F06EA8">
        <w:rPr>
          <w:rFonts w:ascii="仿宋_GB2312" w:eastAsia="仿宋_GB2312" w:hAnsi="Helvetica" w:cs="Helvetica" w:hint="eastAsia"/>
          <w:color w:val="333333"/>
          <w:kern w:val="0"/>
          <w:sz w:val="32"/>
          <w:szCs w:val="32"/>
        </w:rPr>
        <w:t>平度分散式风电、沃尔莱西分散式风电等项目建成投产。到2025年，陆上风电新增装机规模40万千瓦，总装机规模达到154万千瓦。</w:t>
      </w:r>
      <w:r w:rsidRPr="00F06EA8">
        <w:rPr>
          <w:rFonts w:ascii="Times New Roman" w:eastAsia="宋体" w:hAnsi="Times New Roman" w:cs="Times New Roman"/>
          <w:color w:val="333333"/>
          <w:kern w:val="0"/>
          <w:sz w:val="32"/>
          <w:szCs w:val="32"/>
        </w:rPr>
        <w:t>   </w:t>
      </w:r>
    </w:p>
    <w:p w14:paraId="1D90B46B"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光伏发电。一是有序发展集中式光伏，鼓励渔光互补、农光互补、</w:t>
      </w:r>
      <w:proofErr w:type="gramStart"/>
      <w:r w:rsidRPr="00F06EA8">
        <w:rPr>
          <w:rFonts w:ascii="仿宋_GB2312" w:eastAsia="仿宋_GB2312" w:hAnsi="Helvetica" w:cs="Helvetica" w:hint="eastAsia"/>
          <w:color w:val="333333"/>
          <w:kern w:val="0"/>
          <w:sz w:val="32"/>
          <w:szCs w:val="32"/>
        </w:rPr>
        <w:t>风光储多能</w:t>
      </w:r>
      <w:proofErr w:type="gramEnd"/>
      <w:r w:rsidRPr="00F06EA8">
        <w:rPr>
          <w:rFonts w:ascii="仿宋_GB2312" w:eastAsia="仿宋_GB2312" w:hAnsi="Helvetica" w:cs="Helvetica" w:hint="eastAsia"/>
          <w:color w:val="333333"/>
          <w:kern w:val="0"/>
          <w:sz w:val="32"/>
          <w:szCs w:val="32"/>
        </w:rPr>
        <w:t>互补等“光伏+”项目示范。重点推动建设即墨区、青岛西海岸新区百万千瓦</w:t>
      </w:r>
      <w:proofErr w:type="gramStart"/>
      <w:r w:rsidRPr="00F06EA8">
        <w:rPr>
          <w:rFonts w:ascii="仿宋_GB2312" w:eastAsia="仿宋_GB2312" w:hAnsi="Helvetica" w:cs="Helvetica" w:hint="eastAsia"/>
          <w:color w:val="333333"/>
          <w:kern w:val="0"/>
          <w:sz w:val="32"/>
          <w:szCs w:val="32"/>
        </w:rPr>
        <w:t>级光伏应用</w:t>
      </w:r>
      <w:proofErr w:type="gramEnd"/>
      <w:r w:rsidRPr="00F06EA8">
        <w:rPr>
          <w:rFonts w:ascii="仿宋_GB2312" w:eastAsia="仿宋_GB2312" w:hAnsi="Helvetica" w:cs="Helvetica" w:hint="eastAsia"/>
          <w:color w:val="333333"/>
          <w:kern w:val="0"/>
          <w:sz w:val="32"/>
          <w:szCs w:val="32"/>
        </w:rPr>
        <w:t>基地，打造胶东半岛光伏发电示范。加快推进青岛西海岸新区胶河上上农业40MW光伏发电、即墨区200MW农光互补、胶州市铺集镇150MW渔光互补、平度市安</w:t>
      </w:r>
      <w:proofErr w:type="gramStart"/>
      <w:r w:rsidRPr="00F06EA8">
        <w:rPr>
          <w:rFonts w:ascii="仿宋_GB2312" w:eastAsia="仿宋_GB2312" w:hAnsi="Helvetica" w:cs="Helvetica" w:hint="eastAsia"/>
          <w:color w:val="333333"/>
          <w:kern w:val="0"/>
          <w:sz w:val="32"/>
          <w:szCs w:val="32"/>
        </w:rPr>
        <w:t>信电投</w:t>
      </w:r>
      <w:proofErr w:type="gramEnd"/>
      <w:r w:rsidRPr="00F06EA8">
        <w:rPr>
          <w:rFonts w:ascii="仿宋_GB2312" w:eastAsia="仿宋_GB2312" w:hAnsi="Helvetica" w:cs="Helvetica" w:hint="eastAsia"/>
          <w:color w:val="333333"/>
          <w:kern w:val="0"/>
          <w:sz w:val="32"/>
          <w:szCs w:val="32"/>
        </w:rPr>
        <w:t>200MW平价</w:t>
      </w:r>
      <w:proofErr w:type="gramStart"/>
      <w:r w:rsidRPr="00F06EA8">
        <w:rPr>
          <w:rFonts w:ascii="仿宋_GB2312" w:eastAsia="仿宋_GB2312" w:hAnsi="Helvetica" w:cs="Helvetica" w:hint="eastAsia"/>
          <w:color w:val="333333"/>
          <w:kern w:val="0"/>
          <w:sz w:val="32"/>
          <w:szCs w:val="32"/>
        </w:rPr>
        <w:t>光伏等项</w:t>
      </w:r>
      <w:proofErr w:type="gramEnd"/>
      <w:r w:rsidRPr="00F06EA8">
        <w:rPr>
          <w:rFonts w:ascii="仿宋_GB2312" w:eastAsia="仿宋_GB2312" w:hAnsi="Helvetica" w:cs="Helvetica" w:hint="eastAsia"/>
          <w:color w:val="333333"/>
          <w:kern w:val="0"/>
          <w:sz w:val="32"/>
          <w:szCs w:val="32"/>
        </w:rPr>
        <w:t>目建成并网。二是坚持集散并举，整县制有序推进分布式光伏发展。积极开发建筑一体化光伏发电系统，鼓励在特色小镇、工业园区、经济技术开发园区、商场、学校、医院等建筑屋顶开展分布式光伏应用，优先采用“自发自用”消纳模式。提高太阳能综合利用率，鼓励发展太阳能耦合多种热源在建筑供暖、生活热水中的应</w:t>
      </w:r>
      <w:r w:rsidRPr="00F06EA8">
        <w:rPr>
          <w:rFonts w:ascii="仿宋_GB2312" w:eastAsia="仿宋_GB2312" w:hAnsi="Helvetica" w:cs="Helvetica" w:hint="eastAsia"/>
          <w:color w:val="333333"/>
          <w:kern w:val="0"/>
          <w:sz w:val="32"/>
          <w:szCs w:val="32"/>
        </w:rPr>
        <w:lastRenderedPageBreak/>
        <w:t>用。到2025年，新增光</w:t>
      </w:r>
      <w:proofErr w:type="gramStart"/>
      <w:r w:rsidRPr="00F06EA8">
        <w:rPr>
          <w:rFonts w:ascii="仿宋_GB2312" w:eastAsia="仿宋_GB2312" w:hAnsi="Helvetica" w:cs="Helvetica" w:hint="eastAsia"/>
          <w:color w:val="333333"/>
          <w:kern w:val="0"/>
          <w:sz w:val="32"/>
          <w:szCs w:val="32"/>
        </w:rPr>
        <w:t>伏</w:t>
      </w:r>
      <w:proofErr w:type="gramEnd"/>
      <w:r w:rsidRPr="00F06EA8">
        <w:rPr>
          <w:rFonts w:ascii="仿宋_GB2312" w:eastAsia="仿宋_GB2312" w:hAnsi="Helvetica" w:cs="Helvetica" w:hint="eastAsia"/>
          <w:color w:val="333333"/>
          <w:kern w:val="0"/>
          <w:sz w:val="32"/>
          <w:szCs w:val="32"/>
        </w:rPr>
        <w:t>装机规模220万千瓦，增长2倍以上，总装机规模达到320万千瓦。</w:t>
      </w:r>
    </w:p>
    <w:p w14:paraId="53661FAC"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生物质能。科学布局、稳妥有序推进生活垃圾焚烧发电。积极开展生物质热电联产工程示范，重点推进青岛西海岸生物质热电二期</w:t>
      </w:r>
      <w:r w:rsidRPr="00F06EA8">
        <w:rPr>
          <w:rFonts w:ascii="仿宋_GB2312" w:eastAsia="仿宋_GB2312" w:hAnsi="Helvetica" w:cs="Helvetica" w:hint="eastAsia"/>
          <w:color w:val="333333"/>
          <w:kern w:val="0"/>
          <w:sz w:val="32"/>
          <w:szCs w:val="32"/>
        </w:rPr>
        <w:t> </w:t>
      </w:r>
      <w:r w:rsidRPr="00F06EA8">
        <w:rPr>
          <w:rFonts w:ascii="仿宋_GB2312" w:eastAsia="仿宋_GB2312" w:hAnsi="Helvetica" w:cs="Helvetica" w:hint="eastAsia"/>
          <w:color w:val="333333"/>
          <w:kern w:val="0"/>
          <w:sz w:val="32"/>
          <w:szCs w:val="32"/>
        </w:rPr>
        <w:t>30MW秸秆直燃热电联产、</w:t>
      </w:r>
      <w:proofErr w:type="gramStart"/>
      <w:r w:rsidRPr="00F06EA8">
        <w:rPr>
          <w:rFonts w:ascii="仿宋_GB2312" w:eastAsia="仿宋_GB2312" w:hAnsi="Helvetica" w:cs="Helvetica" w:hint="eastAsia"/>
          <w:color w:val="333333"/>
          <w:kern w:val="0"/>
          <w:sz w:val="32"/>
          <w:szCs w:val="32"/>
        </w:rPr>
        <w:t>中燃明月</w:t>
      </w:r>
      <w:proofErr w:type="gramEnd"/>
      <w:r w:rsidRPr="00F06EA8">
        <w:rPr>
          <w:rFonts w:ascii="仿宋_GB2312" w:eastAsia="仿宋_GB2312" w:hAnsi="Helvetica" w:cs="Helvetica" w:hint="eastAsia"/>
          <w:color w:val="333333"/>
          <w:kern w:val="0"/>
          <w:sz w:val="32"/>
          <w:szCs w:val="32"/>
        </w:rPr>
        <w:t>生物质热电联产等项目建设。鼓励开展生物质能综合利用，扩大农业废弃物制取沼气应用，推进村镇生物质能耦合其他可再生能源清洁供暖示范工程。到2025年，新增生物质发电装机5万千瓦，新增生活垃圾焚烧发电装机规模5.5万千瓦，生物质能总装机规模达到49.2万千瓦。</w:t>
      </w:r>
    </w:p>
    <w:p w14:paraId="0FD9E92C"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储能。鼓励结合源、网、</w:t>
      </w:r>
      <w:proofErr w:type="gramStart"/>
      <w:r w:rsidRPr="00F06EA8">
        <w:rPr>
          <w:rFonts w:ascii="仿宋_GB2312" w:eastAsia="仿宋_GB2312" w:hAnsi="Helvetica" w:cs="Helvetica" w:hint="eastAsia"/>
          <w:color w:val="333333"/>
          <w:kern w:val="0"/>
          <w:sz w:val="32"/>
          <w:szCs w:val="32"/>
        </w:rPr>
        <w:t>荷不同</w:t>
      </w:r>
      <w:proofErr w:type="gramEnd"/>
      <w:r w:rsidRPr="00F06EA8">
        <w:rPr>
          <w:rFonts w:ascii="仿宋_GB2312" w:eastAsia="仿宋_GB2312" w:hAnsi="Helvetica" w:cs="Helvetica" w:hint="eastAsia"/>
          <w:color w:val="333333"/>
          <w:kern w:val="0"/>
          <w:sz w:val="32"/>
          <w:szCs w:val="32"/>
        </w:rPr>
        <w:t>需求探索储能多元化发展模式，以试点促推广应用、以示范</w:t>
      </w:r>
      <w:proofErr w:type="gramStart"/>
      <w:r w:rsidRPr="00F06EA8">
        <w:rPr>
          <w:rFonts w:ascii="仿宋_GB2312" w:eastAsia="仿宋_GB2312" w:hAnsi="Helvetica" w:cs="Helvetica" w:hint="eastAsia"/>
          <w:color w:val="333333"/>
          <w:kern w:val="0"/>
          <w:sz w:val="32"/>
          <w:szCs w:val="32"/>
        </w:rPr>
        <w:t>促深</w:t>
      </w:r>
      <w:proofErr w:type="gramEnd"/>
      <w:r w:rsidRPr="00F06EA8">
        <w:rPr>
          <w:rFonts w:ascii="仿宋_GB2312" w:eastAsia="仿宋_GB2312" w:hAnsi="Helvetica" w:cs="Helvetica" w:hint="eastAsia"/>
          <w:color w:val="333333"/>
          <w:kern w:val="0"/>
          <w:sz w:val="32"/>
          <w:szCs w:val="32"/>
        </w:rPr>
        <w:t>化发展，将发展新型储能作为构建以新能源为主体的新型电力系统重要支撑。推进电源侧、电网侧、用户侧储能建设，通过储能协同优化运行，保障可再生能源高效消纳。统筹电网消</w:t>
      </w:r>
      <w:proofErr w:type="gramStart"/>
      <w:r w:rsidRPr="00F06EA8">
        <w:rPr>
          <w:rFonts w:ascii="仿宋_GB2312" w:eastAsia="仿宋_GB2312" w:hAnsi="Helvetica" w:cs="Helvetica" w:hint="eastAsia"/>
          <w:color w:val="333333"/>
          <w:kern w:val="0"/>
          <w:sz w:val="32"/>
          <w:szCs w:val="32"/>
        </w:rPr>
        <w:t>纳能力</w:t>
      </w:r>
      <w:proofErr w:type="gramEnd"/>
      <w:r w:rsidRPr="00F06EA8">
        <w:rPr>
          <w:rFonts w:ascii="仿宋_GB2312" w:eastAsia="仿宋_GB2312" w:hAnsi="Helvetica" w:cs="Helvetica" w:hint="eastAsia"/>
          <w:color w:val="333333"/>
          <w:kern w:val="0"/>
          <w:sz w:val="32"/>
          <w:szCs w:val="32"/>
        </w:rPr>
        <w:t>与可再生能源项目协同发展，推进风光（火）储一体化建设，新增集中式风电、光伏发电项目应按照不低于10%比例配建或租赁储能设施；鼓励有条件的分散式风电、分布式光伏发电项目按照不低于10%比例配建或租赁储能设施。到2025年，推动新型储能新增容量规模达到50万千瓦时以上。</w:t>
      </w:r>
    </w:p>
    <w:p w14:paraId="35D2EEBD"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lastRenderedPageBreak/>
        <w:t>海洋能及地热能。充分发挥海洋资源、科技人才等基础优势，推进海洋能源技术发展。积极开展海洋能利用研究和示范，探索波浪能、潮流能与海上风电综合利用，推进海洋能协同立体开发。加强地热资源勘察评价，积极推进浅层地热能资源开发，拓展地热能在可再生能源建筑领域的应用规模。在资源条件适宜地区，积极推进干热岩清洁供暖试点，开展省内地热资源供暖示范。</w:t>
      </w:r>
    </w:p>
    <w:p w14:paraId="781D9383"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2.实施清洁能源替代计划。推进清洁能源替代，实施全市供热燃煤锅炉天然气替代工程，因地制宜、积极稳妥推进农村地区“煤改气”“煤改电”等清洁取暖工作，持续扩大太阳能、地热能、生物质能、工业余热等清洁能源供暖规模。促进可再生能源与常规化石能源供暖系统融合，创建可再生能源供暖示范；探索推进海阳核能商用供热，积极稳妥扩大核能利用。稳步提高电能在终端用能中的消费比重，积极推进居民生活、交通、工业等领域“电能替代”，进一步提高城市电气化水平。加快电动汽车推广使用，</w:t>
      </w:r>
      <w:proofErr w:type="gramStart"/>
      <w:r w:rsidRPr="00F06EA8">
        <w:rPr>
          <w:rFonts w:ascii="仿宋_GB2312" w:eastAsia="仿宋_GB2312" w:hAnsi="Helvetica" w:cs="Helvetica" w:hint="eastAsia"/>
          <w:color w:val="333333"/>
          <w:kern w:val="0"/>
          <w:sz w:val="32"/>
          <w:szCs w:val="32"/>
        </w:rPr>
        <w:t>完善充换电基础</w:t>
      </w:r>
      <w:proofErr w:type="gramEnd"/>
      <w:r w:rsidRPr="00F06EA8">
        <w:rPr>
          <w:rFonts w:ascii="仿宋_GB2312" w:eastAsia="仿宋_GB2312" w:hAnsi="Helvetica" w:cs="Helvetica" w:hint="eastAsia"/>
          <w:color w:val="333333"/>
          <w:kern w:val="0"/>
          <w:sz w:val="32"/>
          <w:szCs w:val="32"/>
        </w:rPr>
        <w:t>设施网络，构建以居民小区和办公场所充电为主、城市公共</w:t>
      </w:r>
      <w:proofErr w:type="gramStart"/>
      <w:r w:rsidRPr="00F06EA8">
        <w:rPr>
          <w:rFonts w:ascii="仿宋_GB2312" w:eastAsia="仿宋_GB2312" w:hAnsi="Helvetica" w:cs="Helvetica" w:hint="eastAsia"/>
          <w:color w:val="333333"/>
          <w:kern w:val="0"/>
          <w:sz w:val="32"/>
          <w:szCs w:val="32"/>
        </w:rPr>
        <w:t>充换</w:t>
      </w:r>
      <w:proofErr w:type="gramEnd"/>
      <w:r w:rsidRPr="00F06EA8">
        <w:rPr>
          <w:rFonts w:ascii="仿宋_GB2312" w:eastAsia="仿宋_GB2312" w:hAnsi="Helvetica" w:cs="Helvetica" w:hint="eastAsia"/>
          <w:color w:val="333333"/>
          <w:kern w:val="0"/>
          <w:sz w:val="32"/>
          <w:szCs w:val="32"/>
        </w:rPr>
        <w:t>电为辅的综合服务体系；重点推进居民小区充电设施建设，积极扩大充电服务示范小区试点，鼓励采用“统建统营”模式利用小区公共车位统一规划、建设、运营与维护充电设施；拓展充电服务信息资源共享，引导支持行业领军企业探索充电商业服务新</w:t>
      </w:r>
      <w:r w:rsidRPr="00F06EA8">
        <w:rPr>
          <w:rFonts w:ascii="仿宋_GB2312" w:eastAsia="仿宋_GB2312" w:hAnsi="Helvetica" w:cs="Helvetica" w:hint="eastAsia"/>
          <w:color w:val="333333"/>
          <w:kern w:val="0"/>
          <w:sz w:val="32"/>
          <w:szCs w:val="32"/>
        </w:rPr>
        <w:lastRenderedPageBreak/>
        <w:t>模式。到2025年，全市充电桩保有量达到3.5万台左右，清洁能源占能源消费总量的比重达到49%，提高9.2个百分点。</w:t>
      </w:r>
    </w:p>
    <w:p w14:paraId="21B0F40A"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3.实施煤炭消费压减计划。严控新增耗煤项目，新、改、扩建项目实施煤炭消费减量替代。按照煤炭集中、清洁利用的原则，减少非电行业燃煤消费，在钢铁、化工、建材等行业推动煤炭清洁化高效利用，加大落后燃煤小热电、燃煤小锅炉淘汰力度。按照“先立后破”原则，积极引导企业制定合理替代方案，全面淘汰35蒸吨/小时及以下燃煤锅炉。在确保电力、热力接续稳定供应前提下，大力推进单机容量30万千瓦以下煤电机组关停整合或转为应急备用和调峰，完成30万千瓦及以上热电联产电厂供热半径15公里范围内的燃煤锅炉和落后燃煤小热电机组（含自备电厂）关停整合。</w:t>
      </w:r>
    </w:p>
    <w:p w14:paraId="1C8EE965"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楷体_GB2312" w:eastAsia="楷体_GB2312" w:hAnsi="Helvetica" w:cs="Helvetica" w:hint="eastAsia"/>
          <w:color w:val="333333"/>
          <w:kern w:val="0"/>
          <w:sz w:val="32"/>
          <w:szCs w:val="32"/>
        </w:rPr>
        <w:t>（二）夯实能源供给基础，提升安全保障能力。</w:t>
      </w:r>
      <w:r w:rsidRPr="00F06EA8">
        <w:rPr>
          <w:rFonts w:ascii="仿宋_GB2312" w:eastAsia="仿宋_GB2312" w:hAnsi="Helvetica" w:cs="Helvetica" w:hint="eastAsia"/>
          <w:color w:val="333333"/>
          <w:kern w:val="0"/>
          <w:sz w:val="32"/>
          <w:szCs w:val="32"/>
        </w:rPr>
        <w:t>坚守安全底线，推进能源供给侧结构性改革，加快品种多元、渠道多元的能源基础设施建设，完善智慧电力供应、多元燃气供应、综合油品供应等“三大体系”，提升能源供给保障能力。</w:t>
      </w:r>
    </w:p>
    <w:p w14:paraId="319C7F4A"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1.完善智慧电力供应体系。加快推进清洁能源电厂建设，合理布局天然气</w:t>
      </w:r>
      <w:proofErr w:type="gramStart"/>
      <w:r w:rsidRPr="00F06EA8">
        <w:rPr>
          <w:rFonts w:ascii="仿宋_GB2312" w:eastAsia="仿宋_GB2312" w:hAnsi="Helvetica" w:cs="Helvetica" w:hint="eastAsia"/>
          <w:color w:val="333333"/>
          <w:kern w:val="0"/>
          <w:sz w:val="32"/>
          <w:szCs w:val="32"/>
        </w:rPr>
        <w:t>冷热电三</w:t>
      </w:r>
      <w:proofErr w:type="gramEnd"/>
      <w:r w:rsidRPr="00F06EA8">
        <w:rPr>
          <w:rFonts w:ascii="仿宋_GB2312" w:eastAsia="仿宋_GB2312" w:hAnsi="Helvetica" w:cs="Helvetica" w:hint="eastAsia"/>
          <w:color w:val="333333"/>
          <w:kern w:val="0"/>
          <w:sz w:val="32"/>
          <w:szCs w:val="32"/>
        </w:rPr>
        <w:t>联供和风电、光伏分布式电源，逐步形成“多元、可靠、高效、清洁、智能、绿色”</w:t>
      </w:r>
      <w:r w:rsidRPr="00F06EA8">
        <w:rPr>
          <w:rFonts w:ascii="仿宋_GB2312" w:eastAsia="仿宋_GB2312" w:hAnsi="Helvetica" w:cs="Helvetica" w:hint="eastAsia"/>
          <w:color w:val="333333"/>
          <w:kern w:val="0"/>
          <w:sz w:val="32"/>
          <w:szCs w:val="32"/>
        </w:rPr>
        <w:lastRenderedPageBreak/>
        <w:t>的电源结构，进一步提高本地电源电力安全保障能力和电力负荷调峰能力。围绕“一湾四区、互通互济”整体布局，结合可再生能源消纳、智能微电网建设等需求，统筹推进电网建设，致力打造安全可靠、经济高效、绿色低碳、智慧共享的坚强电网，着力构建以新能源为主体的新型电力系统。</w:t>
      </w:r>
    </w:p>
    <w:p w14:paraId="5BCC0B2E"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强化本地电源支撑。推进大型热电联产机组建设，打造省内领先的大型</w:t>
      </w:r>
      <w:proofErr w:type="gramStart"/>
      <w:r w:rsidRPr="00F06EA8">
        <w:rPr>
          <w:rFonts w:ascii="仿宋_GB2312" w:eastAsia="仿宋_GB2312" w:hAnsi="Helvetica" w:cs="Helvetica" w:hint="eastAsia"/>
          <w:color w:val="333333"/>
          <w:kern w:val="0"/>
          <w:sz w:val="32"/>
          <w:szCs w:val="32"/>
        </w:rPr>
        <w:t>燃机强市</w:t>
      </w:r>
      <w:proofErr w:type="gramEnd"/>
      <w:r w:rsidRPr="00F06EA8">
        <w:rPr>
          <w:rFonts w:ascii="仿宋_GB2312" w:eastAsia="仿宋_GB2312" w:hAnsi="Helvetica" w:cs="Helvetica" w:hint="eastAsia"/>
          <w:color w:val="333333"/>
          <w:kern w:val="0"/>
          <w:sz w:val="32"/>
          <w:szCs w:val="32"/>
        </w:rPr>
        <w:t>。按照“退而不拆”原则，推动投运年限久、效率相对较低的部分燃煤机组转为应急备用和调峰，保障供电安全，促进我市电源运行效率整体提升；逐步推动主力电厂装机总容量约54.5万千瓦的部分煤电机组转为应急备用和调峰机组。到2025年，主力电源新增年发电量达79亿千瓦时左右。</w:t>
      </w:r>
    </w:p>
    <w:p w14:paraId="3DD5C09F"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完善智能电网布局。以安全可靠供电为底线，满足服务重大工程需求，持续推进城市电网建设，</w:t>
      </w:r>
      <w:proofErr w:type="gramStart"/>
      <w:r w:rsidRPr="00F06EA8">
        <w:rPr>
          <w:rFonts w:ascii="仿宋_GB2312" w:eastAsia="仿宋_GB2312" w:hAnsi="Helvetica" w:cs="Helvetica" w:hint="eastAsia"/>
          <w:color w:val="333333"/>
          <w:kern w:val="0"/>
          <w:sz w:val="32"/>
          <w:szCs w:val="32"/>
        </w:rPr>
        <w:t>构建网</w:t>
      </w:r>
      <w:proofErr w:type="gramEnd"/>
      <w:r w:rsidRPr="00F06EA8">
        <w:rPr>
          <w:rFonts w:ascii="仿宋_GB2312" w:eastAsia="仿宋_GB2312" w:hAnsi="Helvetica" w:cs="Helvetica" w:hint="eastAsia"/>
          <w:color w:val="333333"/>
          <w:kern w:val="0"/>
          <w:sz w:val="32"/>
          <w:szCs w:val="32"/>
        </w:rPr>
        <w:t>架坚强、分区清晰的骨干电网。外电沿三路通道深入我市中心区域，解决局部主网重载问题。统筹优化各级电网布局，支撑储能规模化建设并网，构建以高比例外电送入和可再生能源消纳为发展方向的智能电网，以青岛西海岸新区为先行示范，基本建成能源互联网。优化电网结构、确保本质安全，统筹开展老旧电网设施改造。以保障民生用电为</w:t>
      </w:r>
      <w:r w:rsidRPr="00F06EA8">
        <w:rPr>
          <w:rFonts w:ascii="仿宋_GB2312" w:eastAsia="仿宋_GB2312" w:hAnsi="Helvetica" w:cs="Helvetica" w:hint="eastAsia"/>
          <w:color w:val="333333"/>
          <w:kern w:val="0"/>
          <w:sz w:val="32"/>
          <w:szCs w:val="32"/>
        </w:rPr>
        <w:lastRenderedPageBreak/>
        <w:t>重点，持续建设新型城镇配电网，全面推进农村电网升级改造，实现城乡一体化发展。</w:t>
      </w:r>
    </w:p>
    <w:tbl>
      <w:tblPr>
        <w:tblW w:w="0" w:type="auto"/>
        <w:shd w:val="clear" w:color="auto" w:fill="FFFFFF"/>
        <w:tblCellMar>
          <w:left w:w="0" w:type="dxa"/>
          <w:right w:w="0" w:type="dxa"/>
        </w:tblCellMar>
        <w:tblLook w:val="04A0" w:firstRow="1" w:lastRow="0" w:firstColumn="1" w:lastColumn="0" w:noHBand="0" w:noVBand="1"/>
      </w:tblPr>
      <w:tblGrid>
        <w:gridCol w:w="8290"/>
      </w:tblGrid>
      <w:tr w:rsidR="00F06EA8" w:rsidRPr="00F06EA8" w14:paraId="06116F1A" w14:textId="77777777" w:rsidTr="00F06EA8">
        <w:trPr>
          <w:trHeight w:val="420"/>
        </w:trPr>
        <w:tc>
          <w:tcPr>
            <w:tcW w:w="8475" w:type="dxa"/>
            <w:tcBorders>
              <w:top w:val="single" w:sz="6" w:space="0" w:color="auto"/>
              <w:left w:val="single" w:sz="6" w:space="0" w:color="auto"/>
              <w:bottom w:val="single" w:sz="6" w:space="0" w:color="auto"/>
              <w:right w:val="single" w:sz="6" w:space="0" w:color="auto"/>
            </w:tcBorders>
            <w:shd w:val="clear" w:color="auto" w:fill="D9D9D9"/>
            <w:tcMar>
              <w:top w:w="0" w:type="dxa"/>
              <w:left w:w="105" w:type="dxa"/>
              <w:bottom w:w="0" w:type="dxa"/>
              <w:right w:w="105" w:type="dxa"/>
            </w:tcMar>
            <w:vAlign w:val="center"/>
            <w:hideMark/>
          </w:tcPr>
          <w:p w14:paraId="4C4B7697"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黑体" w:eastAsia="黑体" w:hAnsi="黑体" w:cs="Helvetica" w:hint="eastAsia"/>
                <w:color w:val="333333"/>
                <w:kern w:val="0"/>
                <w:sz w:val="24"/>
                <w:szCs w:val="24"/>
              </w:rPr>
              <w:t>专栏1</w:t>
            </w:r>
            <w:r w:rsidRPr="00F06EA8">
              <w:rPr>
                <w:rFonts w:ascii="Calibri" w:eastAsia="黑体" w:hAnsi="Calibri" w:cs="Calibri"/>
                <w:color w:val="333333"/>
                <w:kern w:val="0"/>
                <w:sz w:val="24"/>
                <w:szCs w:val="24"/>
              </w:rPr>
              <w:t> </w:t>
            </w:r>
            <w:r w:rsidRPr="00F06EA8">
              <w:rPr>
                <w:rFonts w:ascii="黑体" w:eastAsia="黑体" w:hAnsi="黑体" w:cs="Helvetica" w:hint="eastAsia"/>
                <w:color w:val="333333"/>
                <w:kern w:val="0"/>
                <w:sz w:val="24"/>
                <w:szCs w:val="24"/>
              </w:rPr>
              <w:t xml:space="preserve"> 电源电网建设重点规划项目</w:t>
            </w:r>
          </w:p>
        </w:tc>
      </w:tr>
      <w:tr w:rsidR="00F06EA8" w:rsidRPr="00F06EA8" w14:paraId="3A0D39E3" w14:textId="77777777" w:rsidTr="00F06EA8">
        <w:trPr>
          <w:trHeight w:val="360"/>
        </w:trPr>
        <w:tc>
          <w:tcPr>
            <w:tcW w:w="847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5DFEFAA"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    </w:t>
            </w:r>
            <w:r w:rsidRPr="00F06EA8">
              <w:rPr>
                <w:rFonts w:ascii="仿宋_GB2312" w:eastAsia="仿宋_GB2312" w:hAnsi="inherit" w:cs="Helvetica" w:hint="eastAsia"/>
                <w:color w:val="333333"/>
                <w:kern w:val="0"/>
                <w:sz w:val="24"/>
                <w:szCs w:val="24"/>
              </w:rPr>
              <w:t>（1）青岛天然气热电联产工程：推进4台9F级燃气-蒸汽联合循环热电联产机组建设。</w:t>
            </w:r>
          </w:p>
          <w:p w14:paraId="5AFA47F0"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    </w:t>
            </w:r>
            <w:r w:rsidRPr="00F06EA8">
              <w:rPr>
                <w:rFonts w:ascii="仿宋_GB2312" w:eastAsia="仿宋_GB2312" w:hAnsi="inherit" w:cs="Helvetica" w:hint="eastAsia"/>
                <w:color w:val="333333"/>
                <w:kern w:val="0"/>
                <w:sz w:val="24"/>
                <w:szCs w:val="24"/>
              </w:rPr>
              <w:t>（2）</w:t>
            </w:r>
            <w:bookmarkStart w:id="2" w:name="_Hlk68569066"/>
            <w:bookmarkEnd w:id="2"/>
            <w:proofErr w:type="gramStart"/>
            <w:r w:rsidRPr="00F06EA8">
              <w:rPr>
                <w:rFonts w:ascii="仿宋_GB2312" w:eastAsia="仿宋_GB2312" w:hAnsi="inherit" w:cs="Helvetica" w:hint="eastAsia"/>
                <w:color w:val="333333"/>
                <w:kern w:val="0"/>
                <w:sz w:val="24"/>
                <w:szCs w:val="24"/>
              </w:rPr>
              <w:t>华能董家口</w:t>
            </w:r>
            <w:proofErr w:type="gramEnd"/>
            <w:r w:rsidRPr="00F06EA8">
              <w:rPr>
                <w:rFonts w:ascii="仿宋_GB2312" w:eastAsia="仿宋_GB2312" w:hAnsi="inherit" w:cs="Helvetica" w:hint="eastAsia"/>
                <w:color w:val="333333"/>
                <w:kern w:val="0"/>
                <w:sz w:val="24"/>
                <w:szCs w:val="24"/>
              </w:rPr>
              <w:t>2×35万千瓦燃煤热电联产工程：建成2台35万千瓦燃煤热电联产机组。</w:t>
            </w:r>
          </w:p>
          <w:p w14:paraId="4EA6B3B4"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    </w:t>
            </w:r>
            <w:r w:rsidRPr="00F06EA8">
              <w:rPr>
                <w:rFonts w:ascii="仿宋_GB2312" w:eastAsia="仿宋_GB2312" w:hAnsi="inherit" w:cs="Helvetica" w:hint="eastAsia"/>
                <w:color w:val="333333"/>
                <w:kern w:val="0"/>
                <w:sz w:val="24"/>
                <w:szCs w:val="24"/>
              </w:rPr>
              <w:t>（3）500千伏输变电工程：新建岛城（黄埠岭）输变电工程，扩建神山、胶东、观</w:t>
            </w:r>
            <w:proofErr w:type="gramStart"/>
            <w:r w:rsidRPr="00F06EA8">
              <w:rPr>
                <w:rFonts w:ascii="仿宋_GB2312" w:eastAsia="仿宋_GB2312" w:hAnsi="inherit" w:cs="Helvetica" w:hint="eastAsia"/>
                <w:color w:val="333333"/>
                <w:kern w:val="0"/>
                <w:sz w:val="24"/>
                <w:szCs w:val="24"/>
              </w:rPr>
              <w:t>龙等输变</w:t>
            </w:r>
            <w:proofErr w:type="gramEnd"/>
            <w:r w:rsidRPr="00F06EA8">
              <w:rPr>
                <w:rFonts w:ascii="仿宋_GB2312" w:eastAsia="仿宋_GB2312" w:hAnsi="inherit" w:cs="Helvetica" w:hint="eastAsia"/>
                <w:color w:val="333333"/>
                <w:kern w:val="0"/>
                <w:sz w:val="24"/>
                <w:szCs w:val="24"/>
              </w:rPr>
              <w:t>电工程</w:t>
            </w:r>
            <w:r w:rsidRPr="00F06EA8">
              <w:rPr>
                <w:rFonts w:ascii="仿宋_GB2312" w:eastAsia="仿宋_GB2312" w:hAnsi="inherit" w:cs="Helvetica" w:hint="eastAsia"/>
                <w:color w:val="333333"/>
                <w:kern w:val="0"/>
                <w:sz w:val="32"/>
                <w:szCs w:val="32"/>
              </w:rPr>
              <w:t>，</w:t>
            </w:r>
            <w:r w:rsidRPr="00F06EA8">
              <w:rPr>
                <w:rFonts w:ascii="仿宋_GB2312" w:eastAsia="仿宋_GB2312" w:hAnsi="inherit" w:cs="Helvetica" w:hint="eastAsia"/>
                <w:color w:val="333333"/>
                <w:kern w:val="0"/>
                <w:sz w:val="24"/>
                <w:szCs w:val="24"/>
              </w:rPr>
              <w:t>新增变电容量600万千伏安、线路52公里。</w:t>
            </w:r>
          </w:p>
          <w:p w14:paraId="6C48E158"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    </w:t>
            </w:r>
            <w:r w:rsidRPr="00F06EA8">
              <w:rPr>
                <w:rFonts w:ascii="仿宋_GB2312" w:eastAsia="仿宋_GB2312" w:hAnsi="inherit" w:cs="Helvetica" w:hint="eastAsia"/>
                <w:color w:val="333333"/>
                <w:kern w:val="0"/>
                <w:sz w:val="24"/>
                <w:szCs w:val="24"/>
              </w:rPr>
              <w:t>（4）220千伏输变电工程：新建汉川、松泉、郁</w:t>
            </w:r>
            <w:proofErr w:type="gramStart"/>
            <w:r w:rsidRPr="00F06EA8">
              <w:rPr>
                <w:rFonts w:ascii="仿宋_GB2312" w:eastAsia="仿宋_GB2312" w:hAnsi="inherit" w:cs="Helvetica" w:hint="eastAsia"/>
                <w:color w:val="333333"/>
                <w:kern w:val="0"/>
                <w:sz w:val="24"/>
                <w:szCs w:val="24"/>
              </w:rPr>
              <w:t>秩</w:t>
            </w:r>
            <w:proofErr w:type="gramEnd"/>
            <w:r w:rsidRPr="00F06EA8">
              <w:rPr>
                <w:rFonts w:ascii="仿宋_GB2312" w:eastAsia="仿宋_GB2312" w:hAnsi="inherit" w:cs="Helvetica" w:hint="eastAsia"/>
                <w:color w:val="333333"/>
                <w:kern w:val="0"/>
                <w:sz w:val="24"/>
                <w:szCs w:val="24"/>
              </w:rPr>
              <w:t>、</w:t>
            </w:r>
            <w:proofErr w:type="gramStart"/>
            <w:r w:rsidRPr="00F06EA8">
              <w:rPr>
                <w:rFonts w:ascii="仿宋_GB2312" w:eastAsia="仿宋_GB2312" w:hAnsi="inherit" w:cs="Helvetica" w:hint="eastAsia"/>
                <w:color w:val="333333"/>
                <w:kern w:val="0"/>
                <w:sz w:val="24"/>
                <w:szCs w:val="24"/>
              </w:rPr>
              <w:t>渭田</w:t>
            </w:r>
            <w:proofErr w:type="gramEnd"/>
            <w:r w:rsidRPr="00F06EA8">
              <w:rPr>
                <w:rFonts w:ascii="仿宋_GB2312" w:eastAsia="仿宋_GB2312" w:hAnsi="inherit" w:cs="Helvetica" w:hint="eastAsia"/>
                <w:color w:val="333333"/>
                <w:kern w:val="0"/>
                <w:sz w:val="24"/>
                <w:szCs w:val="24"/>
              </w:rPr>
              <w:t>等变电站，改、扩建岙山、水清沟等4座变电站，新增变电容量816万千伏安、线路757公里。新建华能西海（董家口）热电、岛城（黄埠岭）500kV变电站的220kV送出等线路工程。</w:t>
            </w:r>
          </w:p>
          <w:p w14:paraId="42F9EED2"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    </w:t>
            </w:r>
            <w:r w:rsidRPr="00F06EA8">
              <w:rPr>
                <w:rFonts w:ascii="仿宋_GB2312" w:eastAsia="仿宋_GB2312" w:hAnsi="inherit" w:cs="Helvetica" w:hint="eastAsia"/>
                <w:color w:val="333333"/>
                <w:kern w:val="0"/>
                <w:sz w:val="24"/>
                <w:szCs w:val="24"/>
              </w:rPr>
              <w:t>（5）110千伏输变电工程：新建乔家、藏马、胡家山等变电站；改、扩建泊里、六汪、保税区等变电站；新建星火、尚德、开城等23个220kV变电站110千伏送出工程；</w:t>
            </w:r>
            <w:proofErr w:type="gramStart"/>
            <w:r w:rsidRPr="00F06EA8">
              <w:rPr>
                <w:rFonts w:ascii="仿宋_GB2312" w:eastAsia="仿宋_GB2312" w:hAnsi="inherit" w:cs="Helvetica" w:hint="eastAsia"/>
                <w:color w:val="333333"/>
                <w:kern w:val="0"/>
                <w:sz w:val="24"/>
                <w:szCs w:val="24"/>
              </w:rPr>
              <w:t>新建贡口</w:t>
            </w:r>
            <w:proofErr w:type="gramEnd"/>
            <w:r w:rsidRPr="00F06EA8">
              <w:rPr>
                <w:rFonts w:ascii="仿宋_GB2312" w:eastAsia="仿宋_GB2312" w:hAnsi="inherit" w:cs="Helvetica" w:hint="eastAsia"/>
                <w:color w:val="333333"/>
                <w:kern w:val="0"/>
                <w:sz w:val="24"/>
                <w:szCs w:val="24"/>
              </w:rPr>
              <w:t>-青岛港、西海岸生物质热电110kV电源送出等线路工程。</w:t>
            </w:r>
          </w:p>
          <w:p w14:paraId="094BBFE4" w14:textId="77777777" w:rsidR="00F06EA8" w:rsidRPr="00F06EA8" w:rsidRDefault="00F06EA8" w:rsidP="00F06EA8">
            <w:pPr>
              <w:widowControl/>
              <w:wordWrap w:val="0"/>
              <w:spacing w:after="120"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    </w:t>
            </w:r>
            <w:r w:rsidRPr="00F06EA8">
              <w:rPr>
                <w:rFonts w:ascii="仿宋_GB2312" w:eastAsia="仿宋_GB2312" w:hAnsi="inherit" w:cs="Helvetica" w:hint="eastAsia"/>
                <w:color w:val="333333"/>
                <w:kern w:val="0"/>
                <w:sz w:val="24"/>
                <w:szCs w:val="24"/>
              </w:rPr>
              <w:t>（6）35千伏输变电工程：新建开封、滁州、甘泉、海岸等6座变电站；上海路站异地改造；新建大楼、尚德、</w:t>
            </w:r>
            <w:proofErr w:type="gramStart"/>
            <w:r w:rsidRPr="00F06EA8">
              <w:rPr>
                <w:rFonts w:ascii="仿宋_GB2312" w:eastAsia="仿宋_GB2312" w:hAnsi="inherit" w:cs="Helvetica" w:hint="eastAsia"/>
                <w:color w:val="333333"/>
                <w:kern w:val="0"/>
                <w:sz w:val="24"/>
                <w:szCs w:val="24"/>
              </w:rPr>
              <w:t>渭田等</w:t>
            </w:r>
            <w:proofErr w:type="gramEnd"/>
            <w:r w:rsidRPr="00F06EA8">
              <w:rPr>
                <w:rFonts w:ascii="仿宋_GB2312" w:eastAsia="仿宋_GB2312" w:hAnsi="inherit" w:cs="Helvetica" w:hint="eastAsia"/>
                <w:color w:val="333333"/>
                <w:kern w:val="0"/>
                <w:sz w:val="24"/>
                <w:szCs w:val="24"/>
              </w:rPr>
              <w:t>220kV变电站35kV配套送出工程；新建亭口-万家、平度-仁兆等7个线路工程。</w:t>
            </w:r>
          </w:p>
        </w:tc>
      </w:tr>
    </w:tbl>
    <w:p w14:paraId="28728BD0"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2.完善多元燃气供应体系。按照“多种气源、管网互联、提高储备、保障供应”的原则，提高天然气外部输送通道供应能力，充分发挥港口优势，加快天然气接收站建设，多渠道落实天然气气源供应，确保天然气供应平稳安全。完善城市天然气输配管网，优化高压、次高压管网布局，提高中压管网覆盖水平，加强管网互通互连，提升管</w:t>
      </w:r>
      <w:r w:rsidRPr="00F06EA8">
        <w:rPr>
          <w:rFonts w:ascii="仿宋_GB2312" w:eastAsia="仿宋_GB2312" w:hAnsi="Helvetica" w:cs="Helvetica" w:hint="eastAsia"/>
          <w:color w:val="333333"/>
          <w:kern w:val="0"/>
          <w:sz w:val="32"/>
          <w:szCs w:val="32"/>
        </w:rPr>
        <w:lastRenderedPageBreak/>
        <w:t>网输送能力和可靠性水平。优化储气设施布局，加快储气能力建设，保障冬季清洁供暖用气需求。</w:t>
      </w:r>
    </w:p>
    <w:p w14:paraId="4D6A75F1"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提升LNG接卸能力。依托优良港口资源，继续做好沿海LNG接收站建设，重点推进山东LNG项目二期建成投产，加快推进三期接收站开工建设，有效提升LNG资源自主采购权和话语权，提高我市自主可控天然气气源保障能力，降低天然气成本。到2025年，新增LNG接卸能力500万吨，总接卸能力达到1100万吨。</w:t>
      </w:r>
    </w:p>
    <w:p w14:paraId="083B6E0E"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加快储气设施建设。遵循“统筹规划、集约建设”原则，进一步加快储气设施建设，推进董家口LNG储备基地建成投产，形成以沿海储罐为主、市内储罐为辅、管道联通、灵活可靠的储气体系。到2025年，全市储气能力实现大幅提升。鼓励市属大型国有能源企业参与山东LNG项目三期接收站及其配套储气设施建设，加快提升我市天然气资源保障和储气能力。</w:t>
      </w:r>
    </w:p>
    <w:p w14:paraId="6AF9B7D8" w14:textId="77777777" w:rsidR="00F06EA8" w:rsidRPr="00F06EA8" w:rsidRDefault="00F06EA8" w:rsidP="00F06EA8">
      <w:pPr>
        <w:widowControl/>
        <w:shd w:val="clear" w:color="auto" w:fill="FFFFFF"/>
        <w:spacing w:after="150"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完善天然气输配管道。统筹LNG资源外输通道、省级干线，完善市内区域供气支线，构建覆盖各区（市）的“四环线、三枢纽”主干网。衔接市内城市燃气管道，兼顾输气调配和高压管存储气调峰，建成完善的天然气输</w:t>
      </w:r>
      <w:proofErr w:type="gramStart"/>
      <w:r w:rsidRPr="00F06EA8">
        <w:rPr>
          <w:rFonts w:ascii="仿宋_GB2312" w:eastAsia="仿宋_GB2312" w:hAnsi="Helvetica" w:cs="Helvetica" w:hint="eastAsia"/>
          <w:color w:val="333333"/>
          <w:kern w:val="0"/>
          <w:sz w:val="32"/>
          <w:szCs w:val="32"/>
        </w:rPr>
        <w:t>配网络</w:t>
      </w:r>
      <w:proofErr w:type="gramEnd"/>
      <w:r w:rsidRPr="00F06EA8">
        <w:rPr>
          <w:rFonts w:ascii="仿宋_GB2312" w:eastAsia="仿宋_GB2312" w:hAnsi="Helvetica" w:cs="Helvetica" w:hint="eastAsia"/>
          <w:color w:val="333333"/>
          <w:kern w:val="0"/>
          <w:sz w:val="32"/>
          <w:szCs w:val="32"/>
        </w:rPr>
        <w:t>体系。推动重点项目建设，增强市内管网输送能力和通达程度，满足新建大型燃气机组和沿线用气需求；建设平度、胶州、</w:t>
      </w:r>
      <w:proofErr w:type="gramStart"/>
      <w:r w:rsidRPr="00F06EA8">
        <w:rPr>
          <w:rFonts w:ascii="仿宋_GB2312" w:eastAsia="仿宋_GB2312" w:hAnsi="Helvetica" w:cs="Helvetica" w:hint="eastAsia"/>
          <w:color w:val="333333"/>
          <w:kern w:val="0"/>
          <w:sz w:val="32"/>
          <w:szCs w:val="32"/>
        </w:rPr>
        <w:t>泊里枢纽</w:t>
      </w:r>
      <w:proofErr w:type="gramEnd"/>
      <w:r w:rsidRPr="00F06EA8">
        <w:rPr>
          <w:rFonts w:ascii="仿宋_GB2312" w:eastAsia="仿宋_GB2312" w:hAnsi="Helvetica" w:cs="Helvetica" w:hint="eastAsia"/>
          <w:color w:val="333333"/>
          <w:kern w:val="0"/>
          <w:sz w:val="32"/>
          <w:szCs w:val="32"/>
        </w:rPr>
        <w:t>中心，实现互联互通，提升管网安</w:t>
      </w:r>
      <w:r w:rsidRPr="00F06EA8">
        <w:rPr>
          <w:rFonts w:ascii="仿宋_GB2312" w:eastAsia="仿宋_GB2312" w:hAnsi="Helvetica" w:cs="Helvetica" w:hint="eastAsia"/>
          <w:color w:val="333333"/>
          <w:kern w:val="0"/>
          <w:sz w:val="32"/>
          <w:szCs w:val="32"/>
        </w:rPr>
        <w:lastRenderedPageBreak/>
        <w:t>全性和灵活性；推进</w:t>
      </w:r>
      <w:proofErr w:type="gramStart"/>
      <w:r w:rsidRPr="00F06EA8">
        <w:rPr>
          <w:rFonts w:ascii="仿宋_GB2312" w:eastAsia="仿宋_GB2312" w:hAnsi="Helvetica" w:cs="Helvetica" w:hint="eastAsia"/>
          <w:color w:val="333333"/>
          <w:kern w:val="0"/>
          <w:sz w:val="32"/>
          <w:szCs w:val="32"/>
        </w:rPr>
        <w:t>淄</w:t>
      </w:r>
      <w:proofErr w:type="gramEnd"/>
      <w:r w:rsidRPr="00F06EA8">
        <w:rPr>
          <w:rFonts w:ascii="仿宋_GB2312" w:eastAsia="仿宋_GB2312" w:hAnsi="Helvetica" w:cs="Helvetica" w:hint="eastAsia"/>
          <w:color w:val="333333"/>
          <w:kern w:val="0"/>
          <w:sz w:val="32"/>
          <w:szCs w:val="32"/>
        </w:rPr>
        <w:t>青线安全提升改造项目建设，排除老旧管道安全隐患。</w:t>
      </w:r>
    </w:p>
    <w:tbl>
      <w:tblPr>
        <w:tblW w:w="0" w:type="auto"/>
        <w:shd w:val="clear" w:color="auto" w:fill="FFFFFF"/>
        <w:tblCellMar>
          <w:left w:w="0" w:type="dxa"/>
          <w:right w:w="0" w:type="dxa"/>
        </w:tblCellMar>
        <w:tblLook w:val="04A0" w:firstRow="1" w:lastRow="0" w:firstColumn="1" w:lastColumn="0" w:noHBand="0" w:noVBand="1"/>
      </w:tblPr>
      <w:tblGrid>
        <w:gridCol w:w="8290"/>
      </w:tblGrid>
      <w:tr w:rsidR="00F06EA8" w:rsidRPr="00F06EA8" w14:paraId="18AD79A6" w14:textId="77777777" w:rsidTr="00F06EA8">
        <w:trPr>
          <w:trHeight w:val="420"/>
        </w:trPr>
        <w:tc>
          <w:tcPr>
            <w:tcW w:w="8610" w:type="dxa"/>
            <w:tcBorders>
              <w:top w:val="single" w:sz="6" w:space="0" w:color="auto"/>
              <w:left w:val="single" w:sz="6" w:space="0" w:color="auto"/>
              <w:bottom w:val="single" w:sz="6" w:space="0" w:color="auto"/>
              <w:right w:val="single" w:sz="6" w:space="0" w:color="auto"/>
            </w:tcBorders>
            <w:shd w:val="clear" w:color="auto" w:fill="D9D9D9"/>
            <w:tcMar>
              <w:top w:w="0" w:type="dxa"/>
              <w:left w:w="105" w:type="dxa"/>
              <w:bottom w:w="0" w:type="dxa"/>
              <w:right w:w="105" w:type="dxa"/>
            </w:tcMar>
            <w:vAlign w:val="center"/>
            <w:hideMark/>
          </w:tcPr>
          <w:p w14:paraId="090ED27B"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黑体" w:eastAsia="黑体" w:hAnsi="黑体" w:cs="Helvetica" w:hint="eastAsia"/>
                <w:color w:val="333333"/>
                <w:kern w:val="0"/>
                <w:sz w:val="24"/>
                <w:szCs w:val="24"/>
              </w:rPr>
              <w:t>专栏2</w:t>
            </w:r>
            <w:r w:rsidRPr="00F06EA8">
              <w:rPr>
                <w:rFonts w:ascii="Calibri" w:eastAsia="黑体" w:hAnsi="Calibri" w:cs="Calibri"/>
                <w:color w:val="333333"/>
                <w:kern w:val="0"/>
                <w:sz w:val="24"/>
                <w:szCs w:val="24"/>
              </w:rPr>
              <w:t> </w:t>
            </w:r>
            <w:r w:rsidRPr="00F06EA8">
              <w:rPr>
                <w:rFonts w:ascii="黑体" w:eastAsia="黑体" w:hAnsi="黑体" w:cs="Helvetica" w:hint="eastAsia"/>
                <w:color w:val="333333"/>
                <w:kern w:val="0"/>
                <w:sz w:val="24"/>
                <w:szCs w:val="24"/>
              </w:rPr>
              <w:t xml:space="preserve"> 燃气设施重点项目</w:t>
            </w:r>
          </w:p>
        </w:tc>
      </w:tr>
      <w:tr w:rsidR="00F06EA8" w:rsidRPr="00F06EA8" w14:paraId="511049ED" w14:textId="77777777" w:rsidTr="00F06EA8">
        <w:trPr>
          <w:trHeight w:val="360"/>
        </w:trPr>
        <w:tc>
          <w:tcPr>
            <w:tcW w:w="86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2209B49"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（1）LNG接收站</w:t>
            </w:r>
          </w:p>
          <w:p w14:paraId="47F23262"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规划项目：山东液化天然气（LNG）项目三期LNG接收站。</w:t>
            </w:r>
          </w:p>
          <w:p w14:paraId="3183C4E6"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储备项目：青岛LNG接收站。</w:t>
            </w:r>
          </w:p>
          <w:p w14:paraId="27258997" w14:textId="77777777" w:rsidR="00F06EA8" w:rsidRPr="00F06EA8" w:rsidRDefault="00F06EA8" w:rsidP="00F06EA8">
            <w:pPr>
              <w:widowControl/>
              <w:wordWrap w:val="0"/>
              <w:spacing w:line="435" w:lineRule="atLeast"/>
              <w:ind w:left="105"/>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（2）天然气管道</w:t>
            </w:r>
          </w:p>
          <w:p w14:paraId="661C3E1E" w14:textId="77777777" w:rsidR="00F06EA8" w:rsidRPr="00F06EA8" w:rsidRDefault="00F06EA8" w:rsidP="00F06EA8">
            <w:pPr>
              <w:widowControl/>
              <w:wordWrap w:val="0"/>
              <w:spacing w:line="435" w:lineRule="atLeast"/>
              <w:ind w:left="105"/>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规划项目：董家口LNG接收站-张应、胶州湾海底天然气管线、山东管网东干线、董家口LNG-东干线联络线、</w:t>
            </w:r>
            <w:proofErr w:type="gramStart"/>
            <w:r w:rsidRPr="00F06EA8">
              <w:rPr>
                <w:rFonts w:ascii="仿宋_GB2312" w:eastAsia="仿宋_GB2312" w:hAnsi="inherit" w:cs="Helvetica" w:hint="eastAsia"/>
                <w:color w:val="333333"/>
                <w:kern w:val="0"/>
                <w:sz w:val="24"/>
                <w:szCs w:val="24"/>
              </w:rPr>
              <w:t>淄</w:t>
            </w:r>
            <w:proofErr w:type="gramEnd"/>
            <w:r w:rsidRPr="00F06EA8">
              <w:rPr>
                <w:rFonts w:ascii="仿宋_GB2312" w:eastAsia="仿宋_GB2312" w:hAnsi="inherit" w:cs="Helvetica" w:hint="eastAsia"/>
                <w:color w:val="333333"/>
                <w:kern w:val="0"/>
                <w:sz w:val="24"/>
                <w:szCs w:val="24"/>
              </w:rPr>
              <w:t>青线安全提升改造工程、莱西-中世联络线、平度-高密联络线。</w:t>
            </w:r>
          </w:p>
          <w:p w14:paraId="6488040D" w14:textId="77777777" w:rsidR="00F06EA8" w:rsidRPr="00F06EA8" w:rsidRDefault="00F06EA8" w:rsidP="00F06EA8">
            <w:pPr>
              <w:widowControl/>
              <w:wordWrap w:val="0"/>
              <w:spacing w:line="435" w:lineRule="atLeast"/>
              <w:ind w:left="105"/>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储备项目：董家口-沂水-淄博天然气管道。</w:t>
            </w:r>
          </w:p>
        </w:tc>
      </w:tr>
    </w:tbl>
    <w:p w14:paraId="78F0F5D1" w14:textId="77777777" w:rsidR="00F06EA8" w:rsidRPr="00F06EA8" w:rsidRDefault="00F06EA8" w:rsidP="00F06EA8">
      <w:pPr>
        <w:widowControl/>
        <w:shd w:val="clear" w:color="auto" w:fill="FFFFFF"/>
        <w:spacing w:before="150"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3.完善综合油品供应体系。加快原油和成品油码头建设，紧密衔接国家、省主干管网，统筹布局综合管廊，建立布局合理、保障有力、安全可靠的输</w:t>
      </w:r>
      <w:proofErr w:type="gramStart"/>
      <w:r w:rsidRPr="00F06EA8">
        <w:rPr>
          <w:rFonts w:ascii="仿宋_GB2312" w:eastAsia="仿宋_GB2312" w:hAnsi="Helvetica" w:cs="Helvetica" w:hint="eastAsia"/>
          <w:color w:val="333333"/>
          <w:kern w:val="0"/>
          <w:sz w:val="32"/>
          <w:szCs w:val="32"/>
        </w:rPr>
        <w:t>配网络</w:t>
      </w:r>
      <w:proofErr w:type="gramEnd"/>
      <w:r w:rsidRPr="00F06EA8">
        <w:rPr>
          <w:rFonts w:ascii="仿宋_GB2312" w:eastAsia="仿宋_GB2312" w:hAnsi="Helvetica" w:cs="Helvetica" w:hint="eastAsia"/>
          <w:color w:val="333333"/>
          <w:kern w:val="0"/>
          <w:sz w:val="32"/>
          <w:szCs w:val="32"/>
        </w:rPr>
        <w:t>体系。推进成品油储备设施建设，保障市场稳定供应。</w:t>
      </w:r>
    </w:p>
    <w:p w14:paraId="4F134245"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加快码头建设。提高港口原油和大宗液体散货接卸能力，建成投产董家口港区原油码头二期工程、董家口港区液体化工码头工程，开展原油码头三期工程前期研究。到2025年，液体化工码头、成品油码头、原油码头接卸能力分别增加200万吨、300万吨、1000万吨。</w:t>
      </w:r>
    </w:p>
    <w:p w14:paraId="30E227E9"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加快油品管道建设。以完善港口外输通道为目标，加快原油管道建设，开展老旧管道隐患治理和报废迁移，促进与炼化基地、储备设施的协同发展。发挥港口接卸成品油资源优势，推进成品油管道建设，满足外输需求；依托</w:t>
      </w:r>
      <w:r w:rsidRPr="00F06EA8">
        <w:rPr>
          <w:rFonts w:ascii="仿宋_GB2312" w:eastAsia="仿宋_GB2312" w:hAnsi="Helvetica" w:cs="Helvetica" w:hint="eastAsia"/>
          <w:color w:val="333333"/>
          <w:kern w:val="0"/>
          <w:sz w:val="32"/>
          <w:szCs w:val="32"/>
        </w:rPr>
        <w:lastRenderedPageBreak/>
        <w:t>中石化青岛炼化和青岛石化，完善市内</w:t>
      </w:r>
      <w:proofErr w:type="gramStart"/>
      <w:r w:rsidRPr="00F06EA8">
        <w:rPr>
          <w:rFonts w:ascii="仿宋_GB2312" w:eastAsia="仿宋_GB2312" w:hAnsi="Helvetica" w:cs="Helvetica" w:hint="eastAsia"/>
          <w:color w:val="333333"/>
          <w:kern w:val="0"/>
          <w:sz w:val="32"/>
          <w:szCs w:val="32"/>
        </w:rPr>
        <w:t>成品油输配体</w:t>
      </w:r>
      <w:proofErr w:type="gramEnd"/>
      <w:r w:rsidRPr="00F06EA8">
        <w:rPr>
          <w:rFonts w:ascii="仿宋_GB2312" w:eastAsia="仿宋_GB2312" w:hAnsi="Helvetica" w:cs="Helvetica" w:hint="eastAsia"/>
          <w:color w:val="333333"/>
          <w:kern w:val="0"/>
          <w:sz w:val="32"/>
          <w:szCs w:val="32"/>
        </w:rPr>
        <w:t>系，提高成品油联通供应能力。</w:t>
      </w:r>
    </w:p>
    <w:p w14:paraId="6F21DD20"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加强油品储备设施建设。重点加快原油、成品油管</w:t>
      </w:r>
      <w:proofErr w:type="gramStart"/>
      <w:r w:rsidRPr="00F06EA8">
        <w:rPr>
          <w:rFonts w:ascii="仿宋_GB2312" w:eastAsia="仿宋_GB2312" w:hAnsi="Helvetica" w:cs="Helvetica" w:hint="eastAsia"/>
          <w:color w:val="333333"/>
          <w:kern w:val="0"/>
          <w:sz w:val="32"/>
          <w:szCs w:val="32"/>
        </w:rPr>
        <w:t>道配套</w:t>
      </w:r>
      <w:proofErr w:type="gramEnd"/>
      <w:r w:rsidRPr="00F06EA8">
        <w:rPr>
          <w:rFonts w:ascii="仿宋_GB2312" w:eastAsia="仿宋_GB2312" w:hAnsi="Helvetica" w:cs="Helvetica" w:hint="eastAsia"/>
          <w:color w:val="333333"/>
          <w:kern w:val="0"/>
          <w:sz w:val="32"/>
          <w:szCs w:val="32"/>
        </w:rPr>
        <w:t>库区建设，提升油品储备能力，形成完备的原油、成品油储存配送体系，全力打造青岛市原油战略储备基地。建成董家口港区原油商业储备库项目，完善油品储备基础设施。适时启动各区（市）成品油库项目，满足成品</w:t>
      </w:r>
      <w:proofErr w:type="gramStart"/>
      <w:r w:rsidRPr="00F06EA8">
        <w:rPr>
          <w:rFonts w:ascii="仿宋_GB2312" w:eastAsia="仿宋_GB2312" w:hAnsi="Helvetica" w:cs="Helvetica" w:hint="eastAsia"/>
          <w:color w:val="333333"/>
          <w:kern w:val="0"/>
          <w:sz w:val="32"/>
          <w:szCs w:val="32"/>
        </w:rPr>
        <w:t>油区市</w:t>
      </w:r>
      <w:proofErr w:type="gramEnd"/>
      <w:r w:rsidRPr="00F06EA8">
        <w:rPr>
          <w:rFonts w:ascii="仿宋_GB2312" w:eastAsia="仿宋_GB2312" w:hAnsi="Helvetica" w:cs="Helvetica" w:hint="eastAsia"/>
          <w:color w:val="333333"/>
          <w:kern w:val="0"/>
          <w:sz w:val="32"/>
          <w:szCs w:val="32"/>
        </w:rPr>
        <w:t>联通布局和仓储需求。</w:t>
      </w:r>
    </w:p>
    <w:tbl>
      <w:tblPr>
        <w:tblW w:w="0" w:type="auto"/>
        <w:shd w:val="clear" w:color="auto" w:fill="FFFFFF"/>
        <w:tblCellMar>
          <w:left w:w="0" w:type="dxa"/>
          <w:right w:w="0" w:type="dxa"/>
        </w:tblCellMar>
        <w:tblLook w:val="04A0" w:firstRow="1" w:lastRow="0" w:firstColumn="1" w:lastColumn="0" w:noHBand="0" w:noVBand="1"/>
      </w:tblPr>
      <w:tblGrid>
        <w:gridCol w:w="8290"/>
      </w:tblGrid>
      <w:tr w:rsidR="00F06EA8" w:rsidRPr="00F06EA8" w14:paraId="3568CA19" w14:textId="77777777" w:rsidTr="00F06EA8">
        <w:trPr>
          <w:trHeight w:val="420"/>
        </w:trPr>
        <w:tc>
          <w:tcPr>
            <w:tcW w:w="8610" w:type="dxa"/>
            <w:tcBorders>
              <w:top w:val="single" w:sz="6" w:space="0" w:color="auto"/>
              <w:left w:val="single" w:sz="6" w:space="0" w:color="auto"/>
              <w:bottom w:val="single" w:sz="6" w:space="0" w:color="auto"/>
              <w:right w:val="single" w:sz="6" w:space="0" w:color="auto"/>
            </w:tcBorders>
            <w:shd w:val="clear" w:color="auto" w:fill="D9D9D9"/>
            <w:tcMar>
              <w:top w:w="0" w:type="dxa"/>
              <w:left w:w="105" w:type="dxa"/>
              <w:bottom w:w="0" w:type="dxa"/>
              <w:right w:w="105" w:type="dxa"/>
            </w:tcMar>
            <w:vAlign w:val="center"/>
            <w:hideMark/>
          </w:tcPr>
          <w:p w14:paraId="012CF968"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黑体" w:eastAsia="黑体" w:hAnsi="黑体" w:cs="Helvetica" w:hint="eastAsia"/>
                <w:color w:val="333333"/>
                <w:kern w:val="0"/>
                <w:sz w:val="24"/>
                <w:szCs w:val="24"/>
              </w:rPr>
              <w:t>专栏3</w:t>
            </w:r>
            <w:r w:rsidRPr="00F06EA8">
              <w:rPr>
                <w:rFonts w:ascii="Calibri" w:eastAsia="黑体" w:hAnsi="Calibri" w:cs="Calibri"/>
                <w:color w:val="333333"/>
                <w:kern w:val="0"/>
                <w:sz w:val="24"/>
                <w:szCs w:val="24"/>
              </w:rPr>
              <w:t> </w:t>
            </w:r>
            <w:r w:rsidRPr="00F06EA8">
              <w:rPr>
                <w:rFonts w:ascii="黑体" w:eastAsia="黑体" w:hAnsi="黑体" w:cs="Helvetica" w:hint="eastAsia"/>
                <w:color w:val="333333"/>
                <w:kern w:val="0"/>
                <w:sz w:val="24"/>
                <w:szCs w:val="24"/>
              </w:rPr>
              <w:t xml:space="preserve"> 原油及成品油管</w:t>
            </w:r>
            <w:proofErr w:type="gramStart"/>
            <w:r w:rsidRPr="00F06EA8">
              <w:rPr>
                <w:rFonts w:ascii="黑体" w:eastAsia="黑体" w:hAnsi="黑体" w:cs="Helvetica" w:hint="eastAsia"/>
                <w:color w:val="333333"/>
                <w:kern w:val="0"/>
                <w:sz w:val="24"/>
                <w:szCs w:val="24"/>
              </w:rPr>
              <w:t>道重点</w:t>
            </w:r>
            <w:proofErr w:type="gramEnd"/>
            <w:r w:rsidRPr="00F06EA8">
              <w:rPr>
                <w:rFonts w:ascii="黑体" w:eastAsia="黑体" w:hAnsi="黑体" w:cs="Helvetica" w:hint="eastAsia"/>
                <w:color w:val="333333"/>
                <w:kern w:val="0"/>
                <w:sz w:val="24"/>
                <w:szCs w:val="24"/>
              </w:rPr>
              <w:t>项目</w:t>
            </w:r>
          </w:p>
        </w:tc>
      </w:tr>
      <w:tr w:rsidR="00F06EA8" w:rsidRPr="00F06EA8" w14:paraId="0F6A1163" w14:textId="77777777" w:rsidTr="00F06EA8">
        <w:trPr>
          <w:trHeight w:val="360"/>
        </w:trPr>
        <w:tc>
          <w:tcPr>
            <w:tcW w:w="86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01DE738"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（1）原油管道</w:t>
            </w:r>
          </w:p>
          <w:p w14:paraId="663C0EE2"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续建项目：董家口-东营管道。</w:t>
            </w:r>
          </w:p>
          <w:p w14:paraId="2913CF24"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规划项目：董家口-沂水-淄博管道。</w:t>
            </w:r>
          </w:p>
          <w:p w14:paraId="77FE6626"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储备项目：黄岛-潍坊管道、董家口-东营管道与黄岛-潍坊管道线联络线。</w:t>
            </w:r>
          </w:p>
          <w:p w14:paraId="75A1CA58"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（2）成品油管道</w:t>
            </w:r>
          </w:p>
          <w:p w14:paraId="5ADC8CA0"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规划项目：董家口-沂水-淄博管道（汽油1条、柴油1条，石脑油1条）。</w:t>
            </w:r>
          </w:p>
          <w:p w14:paraId="5A0BBD4D"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储备项目：区市联通管道。</w:t>
            </w:r>
          </w:p>
        </w:tc>
      </w:tr>
    </w:tbl>
    <w:p w14:paraId="7329B158"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楷体_GB2312" w:eastAsia="楷体_GB2312" w:hAnsi="Helvetica" w:cs="Helvetica" w:hint="eastAsia"/>
          <w:color w:val="333333"/>
          <w:kern w:val="0"/>
          <w:sz w:val="32"/>
          <w:szCs w:val="32"/>
        </w:rPr>
        <w:t>（三）强化绿色节能发展，推进质量效率提升。</w:t>
      </w:r>
      <w:r w:rsidRPr="00F06EA8">
        <w:rPr>
          <w:rFonts w:ascii="仿宋_GB2312" w:eastAsia="仿宋_GB2312" w:hAnsi="Helvetica" w:cs="Helvetica" w:hint="eastAsia"/>
          <w:color w:val="333333"/>
          <w:kern w:val="0"/>
          <w:sz w:val="32"/>
          <w:szCs w:val="32"/>
        </w:rPr>
        <w:t>严格落实能源消费总量和强度“双控”要求，推进产业结构绿色转型、能源消费“双控”、重点领域节能示范等“三大工程”，科学控制能源消费总量增速。</w:t>
      </w:r>
    </w:p>
    <w:p w14:paraId="21856785"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1.推进产业结构绿色转型工程。加快构建以低碳产业为主导的产业体系，以产业结构优化调整促进能源利用效率提升。全面落实“四减四增”，进一步加强“两高”项目投资管理，持续优化投资结构，坚决遏制“两高”项目</w:t>
      </w:r>
      <w:r w:rsidRPr="00F06EA8">
        <w:rPr>
          <w:rFonts w:ascii="仿宋_GB2312" w:eastAsia="仿宋_GB2312" w:hAnsi="Helvetica" w:cs="Helvetica" w:hint="eastAsia"/>
          <w:color w:val="333333"/>
          <w:kern w:val="0"/>
          <w:sz w:val="32"/>
          <w:szCs w:val="32"/>
        </w:rPr>
        <w:lastRenderedPageBreak/>
        <w:t>盲目发展。实施有保有压的差别化财税、金融、价格、土地等政策，倒逼低效落后产能加速退出。大力发展战略性新兴产业，通过实施绿色标准、绿色管理、绿色生产加快传统产业绿色改造。加快推动现代服务业、高新技术产业和先进制造业等绿色低碳产业发展，推进产业体系向集约化、高端化升级，助推能源消费向清洁化、低碳化发展。</w:t>
      </w:r>
    </w:p>
    <w:p w14:paraId="15E1182F"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2.推进能源消费“双控”工程。完善能源消费总量和强度“双控”指标管理，将能源消费强度降低作为约束性指标，合理控制能源消费总量。科学分解“十四五”能源消费“双控”指标，将能源消费总量和强度指标分解落实到各区市、重点行业及重点用能企业，鼓励企业将能耗总量控制作为日常管理重要内容。健全能源消费总量预测预警机制，加强重点用能单位能耗在线监测系统建设，以新一代信息技术支撑能源消费数据的统计、报送和核查工作，及时控制能源消费不合理增长。到2025年，完成省下达的能源消费总量控制目标和单位地区生产总值能耗降低目标。</w:t>
      </w:r>
    </w:p>
    <w:p w14:paraId="776985C2"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3.推进重点领域节能示范工程。</w:t>
      </w:r>
    </w:p>
    <w:p w14:paraId="263D56A5"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加强工业节能。深入实施工业能效赶超行动，加强高能耗行业能耗管控，在重点耗能行业全面推行能效对标。深入实施钢铁、石化、化工、建材等行业绿色节能改造，拓展节能新技术、新产品在高耗能行业领域的推广应用。</w:t>
      </w:r>
      <w:r w:rsidRPr="00F06EA8">
        <w:rPr>
          <w:rFonts w:ascii="仿宋_GB2312" w:eastAsia="仿宋_GB2312" w:hAnsi="Helvetica" w:cs="Helvetica" w:hint="eastAsia"/>
          <w:color w:val="333333"/>
          <w:kern w:val="0"/>
          <w:sz w:val="32"/>
          <w:szCs w:val="32"/>
        </w:rPr>
        <w:lastRenderedPageBreak/>
        <w:t>强化顺安热电烟气余热回收等节能工程示范引领，有效扩大工业余热利用规模，推进能源梯级利用与合理配置，提高能源综合利用效率。推动可再生能源在工业领域的广泛应用，调整优化工业用</w:t>
      </w:r>
      <w:proofErr w:type="gramStart"/>
      <w:r w:rsidRPr="00F06EA8">
        <w:rPr>
          <w:rFonts w:ascii="仿宋_GB2312" w:eastAsia="仿宋_GB2312" w:hAnsi="Helvetica" w:cs="Helvetica" w:hint="eastAsia"/>
          <w:color w:val="333333"/>
          <w:kern w:val="0"/>
          <w:sz w:val="32"/>
          <w:szCs w:val="32"/>
        </w:rPr>
        <w:t>能结构</w:t>
      </w:r>
      <w:proofErr w:type="gramEnd"/>
      <w:r w:rsidRPr="00F06EA8">
        <w:rPr>
          <w:rFonts w:ascii="仿宋_GB2312" w:eastAsia="仿宋_GB2312" w:hAnsi="Helvetica" w:cs="Helvetica" w:hint="eastAsia"/>
          <w:color w:val="333333"/>
          <w:kern w:val="0"/>
          <w:sz w:val="32"/>
          <w:szCs w:val="32"/>
        </w:rPr>
        <w:t>和方式。到2025年，工业能源利用效率和清洁化水平显著提高，规模以上工业企业单位增加值能耗下降15%左右。</w:t>
      </w:r>
    </w:p>
    <w:p w14:paraId="1A31B277"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强化建筑节能。制定绿色城市建设发展试点方案，全面打造国家级绿色城市，大力发展绿色建筑和超低能耗建筑，提高装配式建筑在新建建筑中占比。到2025年，新建民用建筑中，按照绿色建筑</w:t>
      </w:r>
      <w:proofErr w:type="gramStart"/>
      <w:r w:rsidRPr="00F06EA8">
        <w:rPr>
          <w:rFonts w:ascii="仿宋_GB2312" w:eastAsia="仿宋_GB2312" w:hAnsi="Helvetica" w:cs="Helvetica" w:hint="eastAsia"/>
          <w:color w:val="333333"/>
          <w:kern w:val="0"/>
          <w:sz w:val="32"/>
          <w:szCs w:val="32"/>
        </w:rPr>
        <w:t>一</w:t>
      </w:r>
      <w:proofErr w:type="gramEnd"/>
      <w:r w:rsidRPr="00F06EA8">
        <w:rPr>
          <w:rFonts w:ascii="仿宋_GB2312" w:eastAsia="仿宋_GB2312" w:hAnsi="Helvetica" w:cs="Helvetica" w:hint="eastAsia"/>
          <w:color w:val="333333"/>
          <w:kern w:val="0"/>
          <w:sz w:val="32"/>
          <w:szCs w:val="32"/>
        </w:rPr>
        <w:t>星级及以上标准规划建设面积占比达到60%以上，超低能耗建筑面积达到100万平方米，装配式建筑占新建建筑比重达到50%。推广可再生能源与建筑一体化技术，鼓励利用太阳能、地热能、工业余热等满足建筑用能需求。深入推进城镇既有居住建筑和公共建筑节能改造，落实建筑能耗限额制度，加强建筑能耗监测平台运维及数据应用。突出绿色金融引领，健全建筑节能市场机制，鼓励推行合同能源管理、PPP等节能服务新模式。</w:t>
      </w:r>
    </w:p>
    <w:p w14:paraId="7F982D62"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促进交通运输节能。落实绿色发展理念，引领交通运输现代化，深化“车、船、路、港”专项节能行动，加快构建绿色低碳交通体系。完善公共交通网络，推进新能源公交车更新，加快配套充电设施建设，促进城市公交服务</w:t>
      </w:r>
      <w:r w:rsidRPr="00F06EA8">
        <w:rPr>
          <w:rFonts w:ascii="仿宋_GB2312" w:eastAsia="仿宋_GB2312" w:hAnsi="Helvetica" w:cs="Helvetica" w:hint="eastAsia"/>
          <w:color w:val="333333"/>
          <w:kern w:val="0"/>
          <w:sz w:val="32"/>
          <w:szCs w:val="32"/>
        </w:rPr>
        <w:lastRenderedPageBreak/>
        <w:t>管理信息化建设，提高车辆运输效率。严格执行营运车辆燃料消耗量准入制度，加快淘汰高耗能、高污染营运车辆。推动网络货运规模化发展，利用现代信息技术整合资源，实现规模化、集约化运输生产。到2025年，我市营运车辆单位运输周转量二氧化碳排放下降4%左右。</w:t>
      </w:r>
    </w:p>
    <w:p w14:paraId="0C12049D"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加强公共机构节能。鼓励公共机构以合同能源管理方式实施节能改造，积极推进政府购买合同能源管理服务，探索用能托管模式。深化实施节约能源目标责任管理，规范能源消费数据汇总、审核、统计、分析、上报，健全能源资源消费统计数据信息公开机制。持续扩大可再生能源在公共机构的利用规模，鼓励优先使用太阳能、风能、地热能等可再生能源提供供电、供热</w:t>
      </w:r>
      <w:r w:rsidRPr="00F06EA8">
        <w:rPr>
          <w:rFonts w:ascii="Times New Roman" w:eastAsia="宋体" w:hAnsi="Times New Roman" w:cs="Times New Roman"/>
          <w:color w:val="333333"/>
          <w:kern w:val="0"/>
          <w:sz w:val="32"/>
          <w:szCs w:val="32"/>
        </w:rPr>
        <w:t>/</w:t>
      </w:r>
      <w:r w:rsidRPr="00F06EA8">
        <w:rPr>
          <w:rFonts w:ascii="仿宋_GB2312" w:eastAsia="仿宋_GB2312" w:hAnsi="Helvetica" w:cs="Helvetica" w:hint="eastAsia"/>
          <w:color w:val="333333"/>
          <w:kern w:val="0"/>
          <w:sz w:val="32"/>
          <w:szCs w:val="32"/>
        </w:rPr>
        <w:t>冷等服务。到2025年，我市公共机构单位建筑面积能耗、人均综合能耗分别实现下降5%、6%左右。</w:t>
      </w:r>
    </w:p>
    <w:p w14:paraId="2A479FD4"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楷体_GB2312" w:eastAsia="楷体_GB2312" w:hAnsi="Helvetica" w:cs="Helvetica" w:hint="eastAsia"/>
          <w:color w:val="333333"/>
          <w:kern w:val="0"/>
          <w:sz w:val="32"/>
          <w:szCs w:val="32"/>
        </w:rPr>
        <w:t>（四）强化科技创新驱动，助推能源产业发展。</w:t>
      </w:r>
      <w:r w:rsidRPr="00F06EA8">
        <w:rPr>
          <w:rFonts w:ascii="仿宋_GB2312" w:eastAsia="仿宋_GB2312" w:hAnsi="Helvetica" w:cs="Helvetica" w:hint="eastAsia"/>
          <w:color w:val="333333"/>
          <w:kern w:val="0"/>
          <w:sz w:val="32"/>
          <w:szCs w:val="32"/>
        </w:rPr>
        <w:t>深入实施能源创新发展战略，强化重点能源研发、先进技术应用、智慧能源创新、能源装备产业等“四大引领”，构建创新驱动的现代能源科技体系。</w:t>
      </w:r>
    </w:p>
    <w:p w14:paraId="18CB429D"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1.强化重点能源研发引领。依托山东能源研究院、青岛</w:t>
      </w:r>
      <w:proofErr w:type="gramStart"/>
      <w:r w:rsidRPr="00F06EA8">
        <w:rPr>
          <w:rFonts w:ascii="仿宋_GB2312" w:eastAsia="仿宋_GB2312" w:hAnsi="Helvetica" w:cs="Helvetica" w:hint="eastAsia"/>
          <w:color w:val="333333"/>
          <w:kern w:val="0"/>
          <w:sz w:val="32"/>
          <w:szCs w:val="32"/>
        </w:rPr>
        <w:t>国际院士</w:t>
      </w:r>
      <w:proofErr w:type="gramEnd"/>
      <w:r w:rsidRPr="00F06EA8">
        <w:rPr>
          <w:rFonts w:ascii="仿宋_GB2312" w:eastAsia="仿宋_GB2312" w:hAnsi="Helvetica" w:cs="Helvetica" w:hint="eastAsia"/>
          <w:color w:val="333333"/>
          <w:kern w:val="0"/>
          <w:sz w:val="32"/>
          <w:szCs w:val="32"/>
        </w:rPr>
        <w:t>港、中国石油大学（华东）等科研机构、高校，汇聚高端科技人才，开展前瞻性、系统性、战略性关键领域能源技术研发，建设产业技术创新中心，争创国家</w:t>
      </w:r>
      <w:r w:rsidRPr="00F06EA8">
        <w:rPr>
          <w:rFonts w:ascii="仿宋_GB2312" w:eastAsia="仿宋_GB2312" w:hAnsi="Helvetica" w:cs="Helvetica" w:hint="eastAsia"/>
          <w:color w:val="333333"/>
          <w:kern w:val="0"/>
          <w:sz w:val="32"/>
          <w:szCs w:val="32"/>
        </w:rPr>
        <w:lastRenderedPageBreak/>
        <w:t>重点实验室，构建“政产学研金服用”深度融合的高端研发平台，促进能源科技进步和重大装备自主化，推动能源领域研发具有核心竞争力的拳头产品，打造国际一流的能源科技创新中心。加快突破能源革命的核心技术，提速重大成果转化，提升创新发展动能。加快氢能开发利用，重点突破氢燃料电池电堆、质子交换膜、高压或液态储氢罐制备等关键技术；集中攻关高性能燃料电池、超级电容等储能技术，开展分布式储能系统协同研究，研发多点布局储能系统聚合调峰及应急控制技术；加快分布式风电、深远</w:t>
      </w:r>
      <w:proofErr w:type="gramStart"/>
      <w:r w:rsidRPr="00F06EA8">
        <w:rPr>
          <w:rFonts w:ascii="仿宋_GB2312" w:eastAsia="仿宋_GB2312" w:hAnsi="Helvetica" w:cs="Helvetica" w:hint="eastAsia"/>
          <w:color w:val="333333"/>
          <w:kern w:val="0"/>
          <w:sz w:val="32"/>
          <w:szCs w:val="32"/>
        </w:rPr>
        <w:t>海风电</w:t>
      </w:r>
      <w:proofErr w:type="gramEnd"/>
      <w:r w:rsidRPr="00F06EA8">
        <w:rPr>
          <w:rFonts w:ascii="仿宋_GB2312" w:eastAsia="仿宋_GB2312" w:hAnsi="Helvetica" w:cs="Helvetica" w:hint="eastAsia"/>
          <w:color w:val="333333"/>
          <w:kern w:val="0"/>
          <w:sz w:val="32"/>
          <w:szCs w:val="32"/>
        </w:rPr>
        <w:t>技术研发，开展新一代海洋能、先进生物质能利用技术攻关，探索推进二氧化碳捕集、封存与利用技术研究。</w:t>
      </w:r>
    </w:p>
    <w:p w14:paraId="48C73629"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2.强化先进技术应用引领。协同发展电源侧、电网侧和用户侧储能，加快推进面向电网调峰、可再生能源、微电网、电动汽车等领域的大容量、长时间、低成本储能技术应用。推进烟气余热回收、高温热泵低质热能利用、智能变频等先进绿色节能技术应用，促进能源梯级综合利用。在工业园区、旅游服务区、生态园区推广建设区域型综合能源系统，实施节能技术与传统能源、可再生能源的协同开发利用，推动多能互补的“源网荷储一体化”综合智慧能源系统建设，提高综合能源利用效率。</w:t>
      </w:r>
    </w:p>
    <w:p w14:paraId="1D75946B"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lastRenderedPageBreak/>
        <w:t>3.强化智慧能源创新引领。积极推进大数据及“互联网+”技术在能源领域应用，加强能源互联网综合集成技术创新。开展能源智能传输技术创新，促进能源智能消费技术创新，推动智慧能源管理与监管技术创新，重点研究信息系统与物理系统的高效集成与智能化调控、能源大数据集成和安全共享、储能和电动汽车应用管理以及电力需求侧响应等技术。推进用能信息的全面采集、监测和分析，支撑企业能源精细化管理，加大智慧能源产业应用与创新，强化产业跨界融合，催生能源产业新经济业态。开展胶东国际机场临空经济区供能、董家口综合能源智慧生态圈等试点示范，引领综合智慧能源创新发展。</w:t>
      </w:r>
    </w:p>
    <w:p w14:paraId="42CB9853" w14:textId="77777777" w:rsidR="00F06EA8" w:rsidRPr="00F06EA8" w:rsidRDefault="00F06EA8" w:rsidP="00F06EA8">
      <w:pPr>
        <w:widowControl/>
        <w:shd w:val="clear" w:color="auto" w:fill="FFFFFF"/>
        <w:spacing w:after="150"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4.强化能源装备产业引领。支持新能源汽车、智能电网、储能、氢能、风电、</w:t>
      </w:r>
      <w:proofErr w:type="gramStart"/>
      <w:r w:rsidRPr="00F06EA8">
        <w:rPr>
          <w:rFonts w:ascii="仿宋_GB2312" w:eastAsia="仿宋_GB2312" w:hAnsi="Helvetica" w:cs="Helvetica" w:hint="eastAsia"/>
          <w:color w:val="333333"/>
          <w:kern w:val="0"/>
          <w:sz w:val="32"/>
          <w:szCs w:val="32"/>
        </w:rPr>
        <w:t>光伏等能源</w:t>
      </w:r>
      <w:proofErr w:type="gramEnd"/>
      <w:r w:rsidRPr="00F06EA8">
        <w:rPr>
          <w:rFonts w:ascii="仿宋_GB2312" w:eastAsia="仿宋_GB2312" w:hAnsi="Helvetica" w:cs="Helvetica" w:hint="eastAsia"/>
          <w:color w:val="333333"/>
          <w:kern w:val="0"/>
          <w:sz w:val="32"/>
          <w:szCs w:val="32"/>
        </w:rPr>
        <w:t>装备产业可持续发展，推动能源装备产业向规模化、精细化和高端化方向转型，鼓励企业从单纯设备制造向综合服务商转型。大力发展新能源整车制造，推进动力电池、电机、电控等关键零部件的研发生产，打造新能源汽车产业集群。积极推动智能输配电及控制设备、分布式电源并网等装备制造产业发展，加快发展能量型与功率型电池储能技术装备，促进安全高效、绿色环保的新型电化学储能器件及系统技术创新。依托我市氢气资源禀赋和化工产业基础，以“氢进万家”科技示范工程为契机，重点开展低成本制氢、管道输</w:t>
      </w:r>
      <w:r w:rsidRPr="00F06EA8">
        <w:rPr>
          <w:rFonts w:ascii="仿宋_GB2312" w:eastAsia="仿宋_GB2312" w:hAnsi="Helvetica" w:cs="Helvetica" w:hint="eastAsia"/>
          <w:color w:val="333333"/>
          <w:kern w:val="0"/>
          <w:sz w:val="32"/>
          <w:szCs w:val="32"/>
        </w:rPr>
        <w:lastRenderedPageBreak/>
        <w:t>氢、高压储运氢、氢能基础设施建设、燃料电池汽车应用，提升氢能装备制造和应用水平，加快建成“东方氢岛”。</w:t>
      </w:r>
    </w:p>
    <w:tbl>
      <w:tblPr>
        <w:tblW w:w="0" w:type="auto"/>
        <w:shd w:val="clear" w:color="auto" w:fill="FFFFFF"/>
        <w:tblCellMar>
          <w:left w:w="0" w:type="dxa"/>
          <w:right w:w="0" w:type="dxa"/>
        </w:tblCellMar>
        <w:tblLook w:val="04A0" w:firstRow="1" w:lastRow="0" w:firstColumn="1" w:lastColumn="0" w:noHBand="0" w:noVBand="1"/>
      </w:tblPr>
      <w:tblGrid>
        <w:gridCol w:w="8290"/>
      </w:tblGrid>
      <w:tr w:rsidR="00F06EA8" w:rsidRPr="00F06EA8" w14:paraId="5CC964C3" w14:textId="77777777" w:rsidTr="00F06EA8">
        <w:tc>
          <w:tcPr>
            <w:tcW w:w="8610" w:type="dxa"/>
            <w:tcBorders>
              <w:top w:val="single" w:sz="6" w:space="0" w:color="auto"/>
              <w:left w:val="single" w:sz="6" w:space="0" w:color="auto"/>
              <w:bottom w:val="single" w:sz="6" w:space="0" w:color="auto"/>
              <w:right w:val="single" w:sz="6" w:space="0" w:color="auto"/>
            </w:tcBorders>
            <w:shd w:val="clear" w:color="auto" w:fill="D9D9D9"/>
            <w:tcMar>
              <w:top w:w="0" w:type="dxa"/>
              <w:left w:w="105" w:type="dxa"/>
              <w:bottom w:w="0" w:type="dxa"/>
              <w:right w:w="105" w:type="dxa"/>
            </w:tcMar>
            <w:vAlign w:val="center"/>
            <w:hideMark/>
          </w:tcPr>
          <w:p w14:paraId="179F7E9F" w14:textId="77777777" w:rsidR="00F06EA8" w:rsidRPr="00F06EA8" w:rsidRDefault="00F06EA8" w:rsidP="00F06EA8">
            <w:pPr>
              <w:widowControl/>
              <w:wordWrap w:val="0"/>
              <w:spacing w:line="555" w:lineRule="atLeast"/>
              <w:jc w:val="center"/>
              <w:rPr>
                <w:rFonts w:ascii="inherit" w:eastAsia="宋体" w:hAnsi="inherit" w:cs="Helvetica"/>
                <w:color w:val="333333"/>
                <w:kern w:val="0"/>
                <w:sz w:val="24"/>
                <w:szCs w:val="24"/>
              </w:rPr>
            </w:pPr>
            <w:r w:rsidRPr="00F06EA8">
              <w:rPr>
                <w:rFonts w:ascii="黑体" w:eastAsia="黑体" w:hAnsi="黑体" w:cs="Helvetica" w:hint="eastAsia"/>
                <w:color w:val="333333"/>
                <w:kern w:val="0"/>
                <w:sz w:val="24"/>
                <w:szCs w:val="24"/>
              </w:rPr>
              <w:t>专栏4</w:t>
            </w:r>
            <w:r w:rsidRPr="00F06EA8">
              <w:rPr>
                <w:rFonts w:ascii="Calibri" w:eastAsia="黑体" w:hAnsi="Calibri" w:cs="Calibri"/>
                <w:color w:val="333333"/>
                <w:kern w:val="0"/>
                <w:sz w:val="24"/>
                <w:szCs w:val="24"/>
              </w:rPr>
              <w:t> </w:t>
            </w:r>
            <w:r w:rsidRPr="00F06EA8">
              <w:rPr>
                <w:rFonts w:ascii="黑体" w:eastAsia="黑体" w:hAnsi="黑体" w:cs="Helvetica" w:hint="eastAsia"/>
                <w:color w:val="333333"/>
                <w:kern w:val="0"/>
                <w:sz w:val="24"/>
                <w:szCs w:val="24"/>
              </w:rPr>
              <w:t xml:space="preserve"> 能源科技及产业重点项目</w:t>
            </w:r>
          </w:p>
        </w:tc>
      </w:tr>
      <w:tr w:rsidR="00F06EA8" w:rsidRPr="00F06EA8" w14:paraId="5AC205EE" w14:textId="77777777" w:rsidTr="00F06EA8">
        <w:trPr>
          <w:trHeight w:val="360"/>
        </w:trPr>
        <w:tc>
          <w:tcPr>
            <w:tcW w:w="86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52B863A"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（1）创新平台</w:t>
            </w:r>
          </w:p>
          <w:p w14:paraId="61C91C6F"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b/>
                <w:bCs/>
                <w:color w:val="333333"/>
                <w:kern w:val="0"/>
                <w:sz w:val="24"/>
                <w:szCs w:val="24"/>
              </w:rPr>
              <w:t>山东能源研究院</w:t>
            </w:r>
            <w:r w:rsidRPr="00F06EA8">
              <w:rPr>
                <w:rFonts w:ascii="仿宋_GB2312" w:eastAsia="仿宋_GB2312" w:hAnsi="inherit" w:cs="Helvetica" w:hint="eastAsia"/>
                <w:color w:val="333333"/>
                <w:kern w:val="0"/>
                <w:sz w:val="24"/>
                <w:szCs w:val="24"/>
              </w:rPr>
              <w:t>：由山东省、中科院、青岛市共同支持建设，建设化石能源、太阳能、生物能源、先进储能技术、氢能与燃料电池等</w:t>
            </w:r>
            <w:r w:rsidRPr="00F06EA8">
              <w:rPr>
                <w:rFonts w:ascii="Times New Roman" w:eastAsia="宋体" w:hAnsi="Times New Roman" w:cs="Times New Roman"/>
                <w:color w:val="333333"/>
                <w:kern w:val="0"/>
                <w:sz w:val="24"/>
                <w:szCs w:val="24"/>
              </w:rPr>
              <w:t>5</w:t>
            </w:r>
            <w:r w:rsidRPr="00F06EA8">
              <w:rPr>
                <w:rFonts w:ascii="仿宋_GB2312" w:eastAsia="仿宋_GB2312" w:hAnsi="inherit" w:cs="Helvetica" w:hint="eastAsia"/>
                <w:color w:val="333333"/>
                <w:kern w:val="0"/>
                <w:sz w:val="24"/>
                <w:szCs w:val="24"/>
              </w:rPr>
              <w:t>个中试与共性技术支撑功能实验室。</w:t>
            </w:r>
          </w:p>
          <w:p w14:paraId="7B54C575"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b/>
                <w:bCs/>
                <w:color w:val="333333"/>
                <w:kern w:val="0"/>
                <w:sz w:val="24"/>
                <w:szCs w:val="24"/>
              </w:rPr>
              <w:t>中国石油大学山能新能源学院：</w:t>
            </w:r>
            <w:r w:rsidRPr="00F06EA8">
              <w:rPr>
                <w:rFonts w:ascii="仿宋_GB2312" w:eastAsia="仿宋_GB2312" w:hAnsi="inherit" w:cs="Helvetica" w:hint="eastAsia"/>
                <w:color w:val="333333"/>
                <w:kern w:val="0"/>
                <w:sz w:val="24"/>
                <w:szCs w:val="24"/>
              </w:rPr>
              <w:t>中国石油大学（华东）与山东能源集团有限公司合作共建，重点拓展氢能、储能、生物质能、地热能等学科方向。</w:t>
            </w:r>
          </w:p>
          <w:p w14:paraId="7E28125C"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（2）综合智慧能源</w:t>
            </w:r>
          </w:p>
          <w:p w14:paraId="6255532C"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胶东国际机场临空经济区供能、董家口综合能源智慧生态圈等多能互补综合智慧能源项目。</w:t>
            </w:r>
          </w:p>
          <w:p w14:paraId="7E64B3A5"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color w:val="333333"/>
                <w:kern w:val="0"/>
                <w:sz w:val="24"/>
                <w:szCs w:val="24"/>
              </w:rPr>
              <w:t>（3）氢能</w:t>
            </w:r>
          </w:p>
          <w:p w14:paraId="784CBA06"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b/>
                <w:bCs/>
                <w:color w:val="333333"/>
                <w:kern w:val="0"/>
                <w:sz w:val="24"/>
                <w:szCs w:val="24"/>
              </w:rPr>
              <w:t>基础保障项目</w:t>
            </w:r>
            <w:r w:rsidRPr="00F06EA8">
              <w:rPr>
                <w:rFonts w:ascii="仿宋_GB2312" w:eastAsia="仿宋_GB2312" w:hAnsi="inherit" w:cs="Helvetica" w:hint="eastAsia"/>
                <w:color w:val="333333"/>
                <w:kern w:val="0"/>
                <w:sz w:val="24"/>
                <w:szCs w:val="24"/>
              </w:rPr>
              <w:t>：金</w:t>
            </w:r>
            <w:proofErr w:type="gramStart"/>
            <w:r w:rsidRPr="00F06EA8">
              <w:rPr>
                <w:rFonts w:ascii="仿宋_GB2312" w:eastAsia="仿宋_GB2312" w:hAnsi="inherit" w:cs="Helvetica" w:hint="eastAsia"/>
                <w:color w:val="333333"/>
                <w:kern w:val="0"/>
                <w:sz w:val="24"/>
                <w:szCs w:val="24"/>
              </w:rPr>
              <w:t>能科技</w:t>
            </w:r>
            <w:proofErr w:type="gramEnd"/>
            <w:r w:rsidRPr="00F06EA8">
              <w:rPr>
                <w:rFonts w:ascii="仿宋_GB2312" w:eastAsia="仿宋_GB2312" w:hAnsi="inherit" w:cs="Helvetica" w:hint="eastAsia"/>
                <w:color w:val="333333"/>
                <w:kern w:val="0"/>
                <w:sz w:val="24"/>
                <w:szCs w:val="24"/>
              </w:rPr>
              <w:t>新材料与氢能源综合利用项目、海湾化学30万吨</w:t>
            </w:r>
            <w:r w:rsidRPr="00F06EA8">
              <w:rPr>
                <w:rFonts w:ascii="Times New Roman" w:eastAsia="宋体" w:hAnsi="Times New Roman" w:cs="Times New Roman"/>
                <w:color w:val="333333"/>
                <w:kern w:val="0"/>
                <w:sz w:val="24"/>
                <w:szCs w:val="24"/>
              </w:rPr>
              <w:t>/</w:t>
            </w:r>
            <w:r w:rsidRPr="00F06EA8">
              <w:rPr>
                <w:rFonts w:ascii="仿宋_GB2312" w:eastAsia="仿宋_GB2312" w:hAnsi="inherit" w:cs="Helvetica" w:hint="eastAsia"/>
                <w:color w:val="333333"/>
                <w:kern w:val="0"/>
                <w:sz w:val="24"/>
                <w:szCs w:val="24"/>
              </w:rPr>
              <w:t>年离子膜烧碱项目、青岛炼化青岛氢能资源基地项目、青岛</w:t>
            </w:r>
            <w:proofErr w:type="gramStart"/>
            <w:r w:rsidRPr="00F06EA8">
              <w:rPr>
                <w:rFonts w:ascii="仿宋_GB2312" w:eastAsia="仿宋_GB2312" w:hAnsi="inherit" w:cs="Helvetica" w:hint="eastAsia"/>
                <w:color w:val="333333"/>
                <w:kern w:val="0"/>
                <w:sz w:val="24"/>
                <w:szCs w:val="24"/>
              </w:rPr>
              <w:t>国际院士港</w:t>
            </w:r>
            <w:proofErr w:type="gramEnd"/>
            <w:r w:rsidRPr="00F06EA8">
              <w:rPr>
                <w:rFonts w:ascii="仿宋_GB2312" w:eastAsia="仿宋_GB2312" w:hAnsi="inherit" w:cs="Helvetica" w:hint="eastAsia"/>
                <w:color w:val="333333"/>
                <w:kern w:val="0"/>
                <w:sz w:val="24"/>
                <w:szCs w:val="24"/>
              </w:rPr>
              <w:t>新能源车辆运营配套示范项目。</w:t>
            </w:r>
          </w:p>
          <w:p w14:paraId="32896666"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b/>
                <w:bCs/>
                <w:color w:val="333333"/>
                <w:kern w:val="0"/>
                <w:sz w:val="24"/>
                <w:szCs w:val="24"/>
              </w:rPr>
              <w:t>装备制造项目</w:t>
            </w:r>
            <w:r w:rsidRPr="00F06EA8">
              <w:rPr>
                <w:rFonts w:ascii="仿宋_GB2312" w:eastAsia="仿宋_GB2312" w:hAnsi="inherit" w:cs="Helvetica" w:hint="eastAsia"/>
                <w:color w:val="333333"/>
                <w:kern w:val="0"/>
                <w:sz w:val="24"/>
                <w:szCs w:val="24"/>
              </w:rPr>
              <w:t>：氢能与燃料电池动力系统关键零部件制造项目、FCP</w:t>
            </w:r>
            <w:proofErr w:type="gramStart"/>
            <w:r w:rsidRPr="00F06EA8">
              <w:rPr>
                <w:rFonts w:ascii="仿宋_GB2312" w:eastAsia="仿宋_GB2312" w:hAnsi="inherit" w:cs="Helvetica" w:hint="eastAsia"/>
                <w:color w:val="333333"/>
                <w:kern w:val="0"/>
                <w:sz w:val="24"/>
                <w:szCs w:val="24"/>
              </w:rPr>
              <w:t>中德氢动力</w:t>
            </w:r>
            <w:proofErr w:type="gramEnd"/>
            <w:r w:rsidRPr="00F06EA8">
              <w:rPr>
                <w:rFonts w:ascii="仿宋_GB2312" w:eastAsia="仿宋_GB2312" w:hAnsi="inherit" w:cs="Helvetica" w:hint="eastAsia"/>
                <w:color w:val="333333"/>
                <w:kern w:val="0"/>
                <w:sz w:val="24"/>
                <w:szCs w:val="24"/>
              </w:rPr>
              <w:t>产业园项目、</w:t>
            </w:r>
            <w:proofErr w:type="gramStart"/>
            <w:r w:rsidRPr="00F06EA8">
              <w:rPr>
                <w:rFonts w:ascii="仿宋_GB2312" w:eastAsia="仿宋_GB2312" w:hAnsi="inherit" w:cs="Helvetica" w:hint="eastAsia"/>
                <w:color w:val="333333"/>
                <w:kern w:val="0"/>
                <w:sz w:val="24"/>
                <w:szCs w:val="24"/>
              </w:rPr>
              <w:t>氢航动力</w:t>
            </w:r>
            <w:proofErr w:type="gramEnd"/>
            <w:r w:rsidRPr="00F06EA8">
              <w:rPr>
                <w:rFonts w:ascii="仿宋_GB2312" w:eastAsia="仿宋_GB2312" w:hAnsi="inherit" w:cs="Helvetica" w:hint="eastAsia"/>
                <w:color w:val="333333"/>
                <w:kern w:val="0"/>
                <w:sz w:val="24"/>
                <w:szCs w:val="24"/>
              </w:rPr>
              <w:t>氢能源无人机制造项目、加氢站用压缩机制造项目。</w:t>
            </w:r>
          </w:p>
          <w:p w14:paraId="5C2A3863" w14:textId="77777777" w:rsidR="00F06EA8" w:rsidRPr="00F06EA8" w:rsidRDefault="00F06EA8" w:rsidP="00F06EA8">
            <w:pPr>
              <w:widowControl/>
              <w:wordWrap w:val="0"/>
              <w:spacing w:line="435" w:lineRule="atLeast"/>
              <w:jc w:val="left"/>
              <w:rPr>
                <w:rFonts w:ascii="inherit" w:eastAsia="宋体" w:hAnsi="inherit" w:cs="Helvetica"/>
                <w:color w:val="333333"/>
                <w:kern w:val="0"/>
                <w:sz w:val="24"/>
                <w:szCs w:val="24"/>
              </w:rPr>
            </w:pPr>
            <w:r w:rsidRPr="00F06EA8">
              <w:rPr>
                <w:rFonts w:ascii="仿宋_GB2312" w:eastAsia="仿宋_GB2312" w:hAnsi="inherit" w:cs="Helvetica" w:hint="eastAsia"/>
                <w:b/>
                <w:bCs/>
                <w:color w:val="333333"/>
                <w:kern w:val="0"/>
                <w:sz w:val="24"/>
                <w:szCs w:val="24"/>
              </w:rPr>
              <w:t>应用示范项目</w:t>
            </w:r>
            <w:r w:rsidRPr="00F06EA8">
              <w:rPr>
                <w:rFonts w:ascii="仿宋_GB2312" w:eastAsia="仿宋_GB2312" w:hAnsi="inherit" w:cs="Helvetica" w:hint="eastAsia"/>
                <w:color w:val="333333"/>
                <w:kern w:val="0"/>
                <w:sz w:val="24"/>
                <w:szCs w:val="24"/>
              </w:rPr>
              <w:t>：青岛港燃料电池港口机械应用示范项目、氢能公交示范项目。</w:t>
            </w:r>
          </w:p>
        </w:tc>
      </w:tr>
    </w:tbl>
    <w:p w14:paraId="606A5EBD" w14:textId="77777777" w:rsidR="00F06EA8" w:rsidRPr="00F06EA8" w:rsidRDefault="00F06EA8" w:rsidP="00F06EA8">
      <w:pPr>
        <w:widowControl/>
        <w:shd w:val="clear" w:color="auto" w:fill="FFFFFF"/>
        <w:spacing w:before="150" w:line="555" w:lineRule="atLeast"/>
        <w:ind w:firstLine="645"/>
        <w:jc w:val="left"/>
        <w:rPr>
          <w:rFonts w:ascii="Helvetica" w:eastAsia="宋体" w:hAnsi="Helvetica" w:cs="Helvetica"/>
          <w:color w:val="333333"/>
          <w:kern w:val="0"/>
          <w:sz w:val="24"/>
          <w:szCs w:val="24"/>
        </w:rPr>
      </w:pPr>
      <w:r w:rsidRPr="00F06EA8">
        <w:rPr>
          <w:rFonts w:ascii="楷体_GB2312" w:eastAsia="楷体_GB2312" w:hAnsi="Helvetica" w:cs="Helvetica" w:hint="eastAsia"/>
          <w:color w:val="333333"/>
          <w:kern w:val="0"/>
          <w:sz w:val="32"/>
          <w:szCs w:val="32"/>
        </w:rPr>
        <w:t>（五）深化能源体制改革，构建开放市场体系。</w:t>
      </w:r>
      <w:r w:rsidRPr="00F06EA8">
        <w:rPr>
          <w:rFonts w:ascii="仿宋_GB2312" w:eastAsia="仿宋_GB2312" w:hAnsi="Helvetica" w:cs="Helvetica" w:hint="eastAsia"/>
          <w:color w:val="333333"/>
          <w:kern w:val="0"/>
          <w:sz w:val="32"/>
          <w:szCs w:val="32"/>
        </w:rPr>
        <w:t>推动能源市场化改革，深化重点能源领域体制、能源要素市场配置、能源运行管理体制、能源安全管理体制、能源合作交流体制等“五大改革”，加快构建主体多元、统一开</w:t>
      </w:r>
      <w:r w:rsidRPr="00F06EA8">
        <w:rPr>
          <w:rFonts w:ascii="仿宋_GB2312" w:eastAsia="仿宋_GB2312" w:hAnsi="Helvetica" w:cs="Helvetica" w:hint="eastAsia"/>
          <w:color w:val="333333"/>
          <w:kern w:val="0"/>
          <w:sz w:val="32"/>
          <w:szCs w:val="32"/>
        </w:rPr>
        <w:lastRenderedPageBreak/>
        <w:t>放、竞争有序、有效监管的现代能源市场体系，实现能源资源优化配置。</w:t>
      </w:r>
    </w:p>
    <w:p w14:paraId="6BC16C59"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1.深化重点能源领域体制改革。完善能源要素与重大产业项目衔接机制，重点保障促进经济提质升级的重大项目用能需求。加快数字能源建设，完善运行监测技术手段，健全能源运行分析和动态监测机制。深化电力体制改革，逐步扩大电力市场交易范围，促进交易市场主体多元化。探索推进油气体制改革。创新可再生能源发展模式，完善市场配置资源和补贴退坡机制，引导可再生能源电力尽快实现平价上网。</w:t>
      </w:r>
    </w:p>
    <w:p w14:paraId="76667D8D"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2.深化能源要素市场配置改革。依托港口优势及省内地</w:t>
      </w:r>
      <w:proofErr w:type="gramStart"/>
      <w:r w:rsidRPr="00F06EA8">
        <w:rPr>
          <w:rFonts w:ascii="仿宋_GB2312" w:eastAsia="仿宋_GB2312" w:hAnsi="Helvetica" w:cs="Helvetica" w:hint="eastAsia"/>
          <w:color w:val="333333"/>
          <w:kern w:val="0"/>
          <w:sz w:val="32"/>
          <w:szCs w:val="32"/>
        </w:rPr>
        <w:t>炼产业</w:t>
      </w:r>
      <w:proofErr w:type="gramEnd"/>
      <w:r w:rsidRPr="00F06EA8">
        <w:rPr>
          <w:rFonts w:ascii="仿宋_GB2312" w:eastAsia="仿宋_GB2312" w:hAnsi="Helvetica" w:cs="Helvetica" w:hint="eastAsia"/>
          <w:color w:val="333333"/>
          <w:kern w:val="0"/>
          <w:sz w:val="32"/>
          <w:szCs w:val="32"/>
        </w:rPr>
        <w:t>资源，加快推进北方国际油气中心建设和运营，鼓励引进油气领域上下游企业，打通产业链条关键环节，实现资源高效整合，提升交易和流通效率，降低交易和物流成本，更好服务实体经济。按照“先煤炭、后其他，先增量、后存量，先有偿、后交易”原则，根据国家部署，有序推进我市</w:t>
      </w:r>
      <w:proofErr w:type="gramStart"/>
      <w:r w:rsidRPr="00F06EA8">
        <w:rPr>
          <w:rFonts w:ascii="仿宋_GB2312" w:eastAsia="仿宋_GB2312" w:hAnsi="Helvetica" w:cs="Helvetica" w:hint="eastAsia"/>
          <w:color w:val="333333"/>
          <w:kern w:val="0"/>
          <w:sz w:val="32"/>
          <w:szCs w:val="32"/>
        </w:rPr>
        <w:t>用能权有偿</w:t>
      </w:r>
      <w:proofErr w:type="gramEnd"/>
      <w:r w:rsidRPr="00F06EA8">
        <w:rPr>
          <w:rFonts w:ascii="仿宋_GB2312" w:eastAsia="仿宋_GB2312" w:hAnsi="Helvetica" w:cs="Helvetica" w:hint="eastAsia"/>
          <w:color w:val="333333"/>
          <w:kern w:val="0"/>
          <w:sz w:val="32"/>
          <w:szCs w:val="32"/>
        </w:rPr>
        <w:t>使用和交易工作。按照省煤炭消费压减总体要求，积极推进用煤权有偿使用，探索建立覆盖所有能源品种的、用能单位之间的</w:t>
      </w:r>
      <w:proofErr w:type="gramStart"/>
      <w:r w:rsidRPr="00F06EA8">
        <w:rPr>
          <w:rFonts w:ascii="仿宋_GB2312" w:eastAsia="仿宋_GB2312" w:hAnsi="Helvetica" w:cs="Helvetica" w:hint="eastAsia"/>
          <w:color w:val="333333"/>
          <w:kern w:val="0"/>
          <w:sz w:val="32"/>
          <w:szCs w:val="32"/>
        </w:rPr>
        <w:t>用能权交易</w:t>
      </w:r>
      <w:proofErr w:type="gramEnd"/>
      <w:r w:rsidRPr="00F06EA8">
        <w:rPr>
          <w:rFonts w:ascii="仿宋_GB2312" w:eastAsia="仿宋_GB2312" w:hAnsi="Helvetica" w:cs="Helvetica" w:hint="eastAsia"/>
          <w:color w:val="333333"/>
          <w:kern w:val="0"/>
          <w:sz w:val="32"/>
          <w:szCs w:val="32"/>
        </w:rPr>
        <w:t>制度。</w:t>
      </w:r>
    </w:p>
    <w:p w14:paraId="54EB87BA"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3.深化能源运行管理体制改革。发挥市煤电油气运工作领导小组作用，健全协调机制，拓展电力、煤炭、石油、天然气等资源供应渠道，确保满足总量平衡和季节性</w:t>
      </w:r>
      <w:r w:rsidRPr="00F06EA8">
        <w:rPr>
          <w:rFonts w:ascii="仿宋_GB2312" w:eastAsia="仿宋_GB2312" w:hAnsi="Helvetica" w:cs="Helvetica" w:hint="eastAsia"/>
          <w:color w:val="333333"/>
          <w:kern w:val="0"/>
          <w:sz w:val="32"/>
          <w:szCs w:val="32"/>
        </w:rPr>
        <w:lastRenderedPageBreak/>
        <w:t>高峰需求，统筹做好重点时段、重点区域和重大活动期间的能源安全保障工作。强化能源预测、预警，加强对煤炭、油气等重要能源产品供应情况的动态跟踪监控，及时发现问题、及时协调解决。研究整合政府部门和企业信息资源，建立市级能源保障监测信息化平台，促进信息共享与高效协作，提高能源监测预警能力，为能源管理和运行协调提供信息支撑。积极开展能源领域各类示范试点，结合数字能源应用、清洁能源发展水平、现代能源治理体系建设等，分级分类分地区打造一批能源高质量发展标杆区（市）、标杆园区、标杆企业。</w:t>
      </w:r>
    </w:p>
    <w:p w14:paraId="6AC2CDFF"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4.深化能源安全管理体制改革。增强城市骨干电网、重要电源、油气管道等能源基础设施防护和抗灾能力，建立能源行业贯穿属地管理责任、行业监管责任、企业主体责任的全生命周期安全管理机制，提高运行可靠性。持续开展油气管道安全检查，推动系统识别隐患、预警风险、联动处置，强化执法监管。探索推广运用视频智能分析、精密监测和大数据分析等手段，开展能源重大设施运行数据实时采集，辨识违法违规行为，实现预警监测监控。加强能源行业应急保障队伍建设，强化培训和应急演练，高效应对各类突发事件。</w:t>
      </w:r>
    </w:p>
    <w:p w14:paraId="4E65B143"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5.深化能源合作交流体制改革。发挥“一带一路”、上合组织地方经贸合作示范区、自由贸易试验区等迭加优</w:t>
      </w:r>
      <w:r w:rsidRPr="00F06EA8">
        <w:rPr>
          <w:rFonts w:ascii="仿宋_GB2312" w:eastAsia="仿宋_GB2312" w:hAnsi="Helvetica" w:cs="Helvetica" w:hint="eastAsia"/>
          <w:color w:val="333333"/>
          <w:kern w:val="0"/>
          <w:sz w:val="32"/>
          <w:szCs w:val="32"/>
        </w:rPr>
        <w:lastRenderedPageBreak/>
        <w:t>势，强化</w:t>
      </w:r>
      <w:proofErr w:type="gramStart"/>
      <w:r w:rsidRPr="00F06EA8">
        <w:rPr>
          <w:rFonts w:ascii="仿宋_GB2312" w:eastAsia="仿宋_GB2312" w:hAnsi="Helvetica" w:cs="Helvetica" w:hint="eastAsia"/>
          <w:color w:val="333333"/>
          <w:kern w:val="0"/>
          <w:sz w:val="32"/>
          <w:szCs w:val="32"/>
        </w:rPr>
        <w:t>胶东经济</w:t>
      </w:r>
      <w:proofErr w:type="gramEnd"/>
      <w:r w:rsidRPr="00F06EA8">
        <w:rPr>
          <w:rFonts w:ascii="仿宋_GB2312" w:eastAsia="仿宋_GB2312" w:hAnsi="Helvetica" w:cs="Helvetica" w:hint="eastAsia"/>
          <w:color w:val="333333"/>
          <w:kern w:val="0"/>
          <w:sz w:val="32"/>
          <w:szCs w:val="32"/>
        </w:rPr>
        <w:t>圈能源协同保障。以举办“一带一路”能源部长会议为契机，加强能源领域交流合作，支持青岛优势能源企业“走出去”与国内外优秀能源企业加强合作，鼓励引进关键能源技术和设备。</w:t>
      </w:r>
    </w:p>
    <w:p w14:paraId="2E4E3A52"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黑体" w:eastAsia="黑体" w:hAnsi="黑体" w:cs="Helvetica" w:hint="eastAsia"/>
          <w:color w:val="333333"/>
          <w:kern w:val="0"/>
          <w:sz w:val="32"/>
          <w:szCs w:val="32"/>
        </w:rPr>
        <w:t>四、环境影响评价</w:t>
      </w:r>
    </w:p>
    <w:p w14:paraId="0A20339C"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楷体_GB2312" w:eastAsia="楷体_GB2312" w:hAnsi="Helvetica" w:cs="Helvetica" w:hint="eastAsia"/>
          <w:color w:val="333333"/>
          <w:kern w:val="0"/>
          <w:sz w:val="32"/>
          <w:szCs w:val="32"/>
        </w:rPr>
        <w:t>（一）规划实施环境影响分析。</w:t>
      </w:r>
      <w:r w:rsidRPr="00F06EA8">
        <w:rPr>
          <w:rFonts w:ascii="仿宋_GB2312" w:eastAsia="仿宋_GB2312" w:hAnsi="Helvetica" w:cs="Helvetica" w:hint="eastAsia"/>
          <w:color w:val="333333"/>
          <w:kern w:val="0"/>
          <w:sz w:val="32"/>
          <w:szCs w:val="32"/>
        </w:rPr>
        <w:t>本规划围绕“发展绿色能源，助力动能转换”核心任务，把清洁低碳作为主攻方向，从能源生产和消费两个角度，明确提出优先发展可再生能源、增强天然气供给能力、合理控制煤炭消费总量，有效降低二氧化碳和污染物排放，促进能源发展低碳转型、结构优化、效率提升和生态环境改善。</w:t>
      </w:r>
    </w:p>
    <w:p w14:paraId="106896A8"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1.优化能源供给体系，推动能源领域减排。以</w:t>
      </w:r>
      <w:proofErr w:type="gramStart"/>
      <w:r w:rsidRPr="00F06EA8">
        <w:rPr>
          <w:rFonts w:ascii="仿宋_GB2312" w:eastAsia="仿宋_GB2312" w:hAnsi="Helvetica" w:cs="Helvetica" w:hint="eastAsia"/>
          <w:color w:val="333333"/>
          <w:kern w:val="0"/>
          <w:sz w:val="32"/>
          <w:szCs w:val="32"/>
        </w:rPr>
        <w:t>构建多元</w:t>
      </w:r>
      <w:proofErr w:type="gramEnd"/>
      <w:r w:rsidRPr="00F06EA8">
        <w:rPr>
          <w:rFonts w:ascii="仿宋_GB2312" w:eastAsia="仿宋_GB2312" w:hAnsi="Helvetica" w:cs="Helvetica" w:hint="eastAsia"/>
          <w:color w:val="333333"/>
          <w:kern w:val="0"/>
          <w:sz w:val="32"/>
          <w:szCs w:val="32"/>
        </w:rPr>
        <w:t>安全的现代能源供给体系为重点任务，加快清洁能源的开发利用，优化能源发展结构，加大可再生能源发展力度，扩大天然气利用规模，有利于降低污染物排放，实现良好的环境效益。到2025年，预计我市非化石能源消费比重提高至15%左右，煤炭消费比重下降至23.5%左右。通过优化一次能源结构，将显著降低同等能源消费总量下的污染排放。</w:t>
      </w:r>
    </w:p>
    <w:p w14:paraId="17685A3D"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2.优化能源消费体系，推动用</w:t>
      </w:r>
      <w:proofErr w:type="gramStart"/>
      <w:r w:rsidRPr="00F06EA8">
        <w:rPr>
          <w:rFonts w:ascii="仿宋_GB2312" w:eastAsia="仿宋_GB2312" w:hAnsi="Helvetica" w:cs="Helvetica" w:hint="eastAsia"/>
          <w:color w:val="333333"/>
          <w:kern w:val="0"/>
          <w:sz w:val="32"/>
          <w:szCs w:val="32"/>
        </w:rPr>
        <w:t>能领域减</w:t>
      </w:r>
      <w:proofErr w:type="gramEnd"/>
      <w:r w:rsidRPr="00F06EA8">
        <w:rPr>
          <w:rFonts w:ascii="仿宋_GB2312" w:eastAsia="仿宋_GB2312" w:hAnsi="Helvetica" w:cs="Helvetica" w:hint="eastAsia"/>
          <w:color w:val="333333"/>
          <w:kern w:val="0"/>
          <w:sz w:val="32"/>
          <w:szCs w:val="32"/>
        </w:rPr>
        <w:t>排。以构建清洁高效的现代能源消费体系为重点任务，优化能源要素配置，推动重点用</w:t>
      </w:r>
      <w:proofErr w:type="gramStart"/>
      <w:r w:rsidRPr="00F06EA8">
        <w:rPr>
          <w:rFonts w:ascii="仿宋_GB2312" w:eastAsia="仿宋_GB2312" w:hAnsi="Helvetica" w:cs="Helvetica" w:hint="eastAsia"/>
          <w:color w:val="333333"/>
          <w:kern w:val="0"/>
          <w:sz w:val="32"/>
          <w:szCs w:val="32"/>
        </w:rPr>
        <w:t>能领域</w:t>
      </w:r>
      <w:proofErr w:type="gramEnd"/>
      <w:r w:rsidRPr="00F06EA8">
        <w:rPr>
          <w:rFonts w:ascii="仿宋_GB2312" w:eastAsia="仿宋_GB2312" w:hAnsi="Helvetica" w:cs="Helvetica" w:hint="eastAsia"/>
          <w:color w:val="333333"/>
          <w:kern w:val="0"/>
          <w:sz w:val="32"/>
          <w:szCs w:val="32"/>
        </w:rPr>
        <w:t>绿色低碳转型。“十四五”期间，</w:t>
      </w:r>
      <w:r w:rsidRPr="00F06EA8">
        <w:rPr>
          <w:rFonts w:ascii="仿宋_GB2312" w:eastAsia="仿宋_GB2312" w:hAnsi="Helvetica" w:cs="Helvetica" w:hint="eastAsia"/>
          <w:color w:val="333333"/>
          <w:kern w:val="0"/>
          <w:sz w:val="32"/>
          <w:szCs w:val="32"/>
        </w:rPr>
        <w:lastRenderedPageBreak/>
        <w:t>持续压减淘汰落后产能和过剩产能，全面推进钢铁、石化、化工等行业超低排放改造；推动燃煤锅炉淘汰和燃煤小热电关停整合工作；有序推广“煤改气”“煤改电”工程，推进煤炭消费减量替代。通过结构节能、管理节能、技术节能，全面提升能效水平，从源头上降低污染物排放负荷和</w:t>
      </w:r>
      <w:proofErr w:type="gramStart"/>
      <w:r w:rsidRPr="00F06EA8">
        <w:rPr>
          <w:rFonts w:ascii="仿宋_GB2312" w:eastAsia="仿宋_GB2312" w:hAnsi="Helvetica" w:cs="Helvetica" w:hint="eastAsia"/>
          <w:color w:val="333333"/>
          <w:kern w:val="0"/>
          <w:sz w:val="32"/>
          <w:szCs w:val="32"/>
        </w:rPr>
        <w:t>碳排放</w:t>
      </w:r>
      <w:proofErr w:type="gramEnd"/>
      <w:r w:rsidRPr="00F06EA8">
        <w:rPr>
          <w:rFonts w:ascii="仿宋_GB2312" w:eastAsia="仿宋_GB2312" w:hAnsi="Helvetica" w:cs="Helvetica" w:hint="eastAsia"/>
          <w:color w:val="333333"/>
          <w:kern w:val="0"/>
          <w:sz w:val="32"/>
          <w:szCs w:val="32"/>
        </w:rPr>
        <w:t>强度。</w:t>
      </w:r>
    </w:p>
    <w:p w14:paraId="195A9A46"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3.能源项目建设运行期间环境影响。能源项目建设期间，主要有施工噪声、施工扬尘、施工废水、固体废物、植被破坏等环境影响。火电项目运行期间，会有一定的气态、液态、固态废物和热量排放；输变电工程运行期间，会产生一定的工频电场、工频磁场、噪声、事故油等环境影响；油气设施运行期间的“跑冒滴漏”会对大气、土壤和水环境产生一定的影响。</w:t>
      </w:r>
    </w:p>
    <w:p w14:paraId="43DD272D"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楷体_GB2312" w:eastAsia="楷体_GB2312" w:hAnsi="Helvetica" w:cs="Helvetica" w:hint="eastAsia"/>
          <w:color w:val="333333"/>
          <w:kern w:val="0"/>
          <w:sz w:val="32"/>
          <w:szCs w:val="32"/>
        </w:rPr>
        <w:t>（二）环境影响减缓对策措施。</w:t>
      </w:r>
      <w:r w:rsidRPr="00F06EA8">
        <w:rPr>
          <w:rFonts w:ascii="仿宋_GB2312" w:eastAsia="仿宋_GB2312" w:hAnsi="Helvetica" w:cs="Helvetica" w:hint="eastAsia"/>
          <w:color w:val="333333"/>
          <w:kern w:val="0"/>
          <w:sz w:val="32"/>
          <w:szCs w:val="32"/>
        </w:rPr>
        <w:t>坚持清洁低碳、绿色发展的第一原则，实施能源生产、储运、消费与生态文明建设全过程深度融合，通过采取法律、行政、经济和技术措施，预防和减轻能源对环境的影响，加大环境治理与恢复力度，实现能源与生态环境和谐发展。</w:t>
      </w:r>
    </w:p>
    <w:p w14:paraId="1634C896"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1.加强能源生产和转化环节的环境保护。发挥专项规划的引领作用，切实做好能源规划与电力、电网、油气、可再生能源、氢能发展等专项规划的衔接，坚持能源发展与环境保护并重，突出加强重点生态功能区和生态脆弱区</w:t>
      </w:r>
      <w:r w:rsidRPr="00F06EA8">
        <w:rPr>
          <w:rFonts w:ascii="仿宋_GB2312" w:eastAsia="仿宋_GB2312" w:hAnsi="Helvetica" w:cs="Helvetica" w:hint="eastAsia"/>
          <w:color w:val="333333"/>
          <w:kern w:val="0"/>
          <w:sz w:val="32"/>
          <w:szCs w:val="32"/>
        </w:rPr>
        <w:lastRenderedPageBreak/>
        <w:t>能源开发的生态保护，严格依据规划科学布局能源项目。发挥环保、节能制度的控制作用，遵守相关法律法规，执行环境影响评价制度，加强能源项目节能审查，未通过环境影响评价、节能审查的项目不得开工建设。建设项目做到环保措施与主体工程“三同时”，投运项目做到环保设施全负荷、全时段稳定运行。推动落实电力、石化企业等排污主体的环境责任，增强自主减排动力。</w:t>
      </w:r>
    </w:p>
    <w:p w14:paraId="01FFD0CD"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2.加强能源运输和存储环节的环境保护。持续优化运输方式，煤炭运输更多采取铁路直达</w:t>
      </w:r>
      <w:proofErr w:type="gramStart"/>
      <w:r w:rsidRPr="00F06EA8">
        <w:rPr>
          <w:rFonts w:ascii="仿宋_GB2312" w:eastAsia="仿宋_GB2312" w:hAnsi="Helvetica" w:cs="Helvetica" w:hint="eastAsia"/>
          <w:color w:val="333333"/>
          <w:kern w:val="0"/>
          <w:sz w:val="32"/>
          <w:szCs w:val="32"/>
        </w:rPr>
        <w:t>和港铁联运</w:t>
      </w:r>
      <w:proofErr w:type="gramEnd"/>
      <w:r w:rsidRPr="00F06EA8">
        <w:rPr>
          <w:rFonts w:ascii="仿宋_GB2312" w:eastAsia="仿宋_GB2312" w:hAnsi="Helvetica" w:cs="Helvetica" w:hint="eastAsia"/>
          <w:color w:val="333333"/>
          <w:kern w:val="0"/>
          <w:sz w:val="32"/>
          <w:szCs w:val="32"/>
        </w:rPr>
        <w:t>方式，减少转载或过驳产生的损失浪费和环境影响。加快油气管网建设，实现管道化运输，最大限度避免公路和水路运输突发事故对环境的影响。加强油气管道保护，加大隐患整治力度，提高管道安全运行水平，防止安全事故发生，避免对环境造成影响。对液态能源产品存储设施，严格按照安全、卫生防护距离进行选址，严格按照工艺、材料和安全标准设计建造，严格设置消防、绿化、防渗、防溢、防泄等防护措施。对固态能源产品存储设施，重点加强防尘集尘、截污治污、预防自燃等措施。</w:t>
      </w:r>
    </w:p>
    <w:p w14:paraId="4DFA05B0"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3.加强能源消费和利用环节的环境保护。依照国家节能法规，综合采取财税、标准等措施，在重点领域、行业、企业大力推进节能减排技术改造，加快淘汰落后产能、污染严重产能。结合行业特点，力争重点领域余热、</w:t>
      </w:r>
      <w:r w:rsidRPr="00F06EA8">
        <w:rPr>
          <w:rFonts w:ascii="仿宋_GB2312" w:eastAsia="仿宋_GB2312" w:hAnsi="Helvetica" w:cs="Helvetica" w:hint="eastAsia"/>
          <w:color w:val="333333"/>
          <w:kern w:val="0"/>
          <w:sz w:val="32"/>
          <w:szCs w:val="32"/>
        </w:rPr>
        <w:lastRenderedPageBreak/>
        <w:t>余压和废渣等资源高效利用。研究出台引导企业使用清洁能源的鼓励政策，营造全社会节能减排和保护环境的良好氛围。</w:t>
      </w:r>
    </w:p>
    <w:p w14:paraId="0BB91A25"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仿宋_GB2312" w:eastAsia="仿宋_GB2312" w:hAnsi="Helvetica" w:cs="Helvetica" w:hint="eastAsia"/>
          <w:color w:val="333333"/>
          <w:kern w:val="0"/>
          <w:sz w:val="32"/>
          <w:szCs w:val="32"/>
        </w:rPr>
        <w:t>4.有效开展环境恢复和污染治理。在电力行业，严格新建</w:t>
      </w:r>
      <w:proofErr w:type="gramStart"/>
      <w:r w:rsidRPr="00F06EA8">
        <w:rPr>
          <w:rFonts w:ascii="仿宋_GB2312" w:eastAsia="仿宋_GB2312" w:hAnsi="Helvetica" w:cs="Helvetica" w:hint="eastAsia"/>
          <w:color w:val="333333"/>
          <w:kern w:val="0"/>
          <w:sz w:val="32"/>
          <w:szCs w:val="32"/>
        </w:rPr>
        <w:t>机组环</w:t>
      </w:r>
      <w:proofErr w:type="gramEnd"/>
      <w:r w:rsidRPr="00F06EA8">
        <w:rPr>
          <w:rFonts w:ascii="仿宋_GB2312" w:eastAsia="仿宋_GB2312" w:hAnsi="Helvetica" w:cs="Helvetica" w:hint="eastAsia"/>
          <w:color w:val="333333"/>
          <w:kern w:val="0"/>
          <w:sz w:val="32"/>
          <w:szCs w:val="32"/>
        </w:rPr>
        <w:t>保准入和环保设施运行监督，完成在役机组超低排放改造，积极探索开展碳捕捉示范、</w:t>
      </w:r>
      <w:proofErr w:type="gramStart"/>
      <w:r w:rsidRPr="00F06EA8">
        <w:rPr>
          <w:rFonts w:ascii="仿宋_GB2312" w:eastAsia="仿宋_GB2312" w:hAnsi="Helvetica" w:cs="Helvetica" w:hint="eastAsia"/>
          <w:color w:val="333333"/>
          <w:kern w:val="0"/>
          <w:sz w:val="32"/>
          <w:szCs w:val="32"/>
        </w:rPr>
        <w:t>参与碳排放</w:t>
      </w:r>
      <w:proofErr w:type="gramEnd"/>
      <w:r w:rsidRPr="00F06EA8">
        <w:rPr>
          <w:rFonts w:ascii="仿宋_GB2312" w:eastAsia="仿宋_GB2312" w:hAnsi="Helvetica" w:cs="Helvetica" w:hint="eastAsia"/>
          <w:color w:val="333333"/>
          <w:kern w:val="0"/>
          <w:sz w:val="32"/>
          <w:szCs w:val="32"/>
        </w:rPr>
        <w:t>权市场化交易。通过改进机组设计、优化厂址微观布局、合理安排防护距离等措施，降低风机运行噪音和电网电磁辐射等环境影响。在油气行业，推进技术改造，鼓励采用清洁生产工艺，优化油气管网布局，推进管道共建、廊道共享，减少土地占用，保护地形地貌。</w:t>
      </w:r>
    </w:p>
    <w:p w14:paraId="572CA274"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黑体" w:eastAsia="黑体" w:hAnsi="黑体" w:cs="Helvetica" w:hint="eastAsia"/>
          <w:color w:val="333333"/>
          <w:kern w:val="0"/>
          <w:sz w:val="32"/>
          <w:szCs w:val="32"/>
        </w:rPr>
        <w:t>五、保障措施</w:t>
      </w:r>
    </w:p>
    <w:p w14:paraId="66613200"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楷体_GB2312" w:eastAsia="楷体_GB2312" w:hAnsi="Helvetica" w:cs="Helvetica" w:hint="eastAsia"/>
          <w:color w:val="333333"/>
          <w:kern w:val="0"/>
          <w:sz w:val="32"/>
          <w:szCs w:val="32"/>
        </w:rPr>
        <w:t>（一）加强组织领导。</w:t>
      </w:r>
      <w:r w:rsidRPr="00F06EA8">
        <w:rPr>
          <w:rFonts w:ascii="仿宋_GB2312" w:eastAsia="仿宋_GB2312" w:hAnsi="Helvetica" w:cs="Helvetica" w:hint="eastAsia"/>
          <w:color w:val="333333"/>
          <w:kern w:val="0"/>
          <w:sz w:val="32"/>
          <w:szCs w:val="32"/>
        </w:rPr>
        <w:t>市能源主管部门负责规划实施的总牵头，做好规划任务分解和责任分工安排，统筹协调、指导推进各项工作开展；各专项规划牵头部门要根据工作职责和任务分工，制定专项规划实施计划；各相关部门要切实履行职责，强化协同联动，制定和完善相关配套政策措施，为规划实施创造有利条件。各区（市）要切实发挥主体作用，建立工作协调机制，形成工作合力，推动规划各项指标和任务落实。</w:t>
      </w:r>
    </w:p>
    <w:p w14:paraId="39C81F7D"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楷体_GB2312" w:eastAsia="楷体_GB2312" w:hAnsi="Helvetica" w:cs="Helvetica" w:hint="eastAsia"/>
          <w:color w:val="333333"/>
          <w:kern w:val="0"/>
          <w:sz w:val="32"/>
          <w:szCs w:val="32"/>
        </w:rPr>
        <w:t>（二）突出规划引领。</w:t>
      </w:r>
      <w:r w:rsidRPr="00F06EA8">
        <w:rPr>
          <w:rFonts w:ascii="仿宋_GB2312" w:eastAsia="仿宋_GB2312" w:hAnsi="Helvetica" w:cs="Helvetica" w:hint="eastAsia"/>
          <w:color w:val="333333"/>
          <w:kern w:val="0"/>
          <w:sz w:val="32"/>
          <w:szCs w:val="32"/>
        </w:rPr>
        <w:t>健全以本规划为统领，电力、油气、可再生能源、节能等专项规划为支撑，定位清晰、</w:t>
      </w:r>
      <w:r w:rsidRPr="00F06EA8">
        <w:rPr>
          <w:rFonts w:ascii="仿宋_GB2312" w:eastAsia="仿宋_GB2312" w:hAnsi="Helvetica" w:cs="Helvetica" w:hint="eastAsia"/>
          <w:color w:val="333333"/>
          <w:kern w:val="0"/>
          <w:sz w:val="32"/>
          <w:szCs w:val="32"/>
        </w:rPr>
        <w:lastRenderedPageBreak/>
        <w:t>功能互补、统一衔接的能源规划体系。强化规划战略导向，充分发挥规划对我市能源发展、重大项目布局、公共资源配置、社会资本投向的引导约束作用。加强能源规划与经济社会发展规划纲要、国土空间规划、环境保护规划等的衔接，促进能源项目协调布局。</w:t>
      </w:r>
    </w:p>
    <w:p w14:paraId="4D6CD10E"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楷体_GB2312" w:eastAsia="楷体_GB2312" w:hAnsi="Helvetica" w:cs="Helvetica" w:hint="eastAsia"/>
          <w:color w:val="333333"/>
          <w:kern w:val="0"/>
          <w:sz w:val="32"/>
          <w:szCs w:val="32"/>
        </w:rPr>
        <w:t>（三）完善要素保障。</w:t>
      </w:r>
      <w:r w:rsidRPr="00F06EA8">
        <w:rPr>
          <w:rFonts w:ascii="仿宋_GB2312" w:eastAsia="仿宋_GB2312" w:hAnsi="Helvetica" w:cs="Helvetica" w:hint="eastAsia"/>
          <w:color w:val="333333"/>
          <w:kern w:val="0"/>
          <w:sz w:val="32"/>
          <w:szCs w:val="32"/>
        </w:rPr>
        <w:t>对规划确定的重大项目、重大工程，在建设用地指标、用</w:t>
      </w:r>
      <w:proofErr w:type="gramStart"/>
      <w:r w:rsidRPr="00F06EA8">
        <w:rPr>
          <w:rFonts w:ascii="仿宋_GB2312" w:eastAsia="仿宋_GB2312" w:hAnsi="Helvetica" w:cs="Helvetica" w:hint="eastAsia"/>
          <w:color w:val="333333"/>
          <w:kern w:val="0"/>
          <w:sz w:val="32"/>
          <w:szCs w:val="32"/>
        </w:rPr>
        <w:t>海方面</w:t>
      </w:r>
      <w:proofErr w:type="gramEnd"/>
      <w:r w:rsidRPr="00F06EA8">
        <w:rPr>
          <w:rFonts w:ascii="仿宋_GB2312" w:eastAsia="仿宋_GB2312" w:hAnsi="Helvetica" w:cs="Helvetica" w:hint="eastAsia"/>
          <w:color w:val="333333"/>
          <w:kern w:val="0"/>
          <w:sz w:val="32"/>
          <w:szCs w:val="32"/>
        </w:rPr>
        <w:t>给予重点支持。统筹各类财政资金，加大对能源保障、传统能源升级改造、清洁能源发展等扶持力度。拓宽投融资渠道，鼓励开发性、政策性银行支持能源重大项目建设，积极引导社会资本参与项目建设，大力发展绿色信贷，鼓励金融机构创新金融产品和服务模式。加强部门协调配合，为发展先进产能腾出用能指标、环境容量，不断提高供给质量和效益，确保重大项目落地落实。</w:t>
      </w:r>
    </w:p>
    <w:p w14:paraId="629CED56"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楷体_GB2312" w:eastAsia="楷体_GB2312" w:hAnsi="Helvetica" w:cs="Helvetica" w:hint="eastAsia"/>
          <w:color w:val="333333"/>
          <w:kern w:val="0"/>
          <w:sz w:val="32"/>
          <w:szCs w:val="32"/>
        </w:rPr>
        <w:t>（四）夯实科技支撑。</w:t>
      </w:r>
      <w:r w:rsidRPr="00F06EA8">
        <w:rPr>
          <w:rFonts w:ascii="仿宋_GB2312" w:eastAsia="仿宋_GB2312" w:hAnsi="Helvetica" w:cs="Helvetica" w:hint="eastAsia"/>
          <w:color w:val="333333"/>
          <w:kern w:val="0"/>
          <w:sz w:val="32"/>
          <w:szCs w:val="32"/>
        </w:rPr>
        <w:t>加大科技研发投入力度，聚焦关键共性技术、前沿引领技术及“卡脖子”核心技术进行攻关，加快技术创新进程。围绕产业</w:t>
      </w:r>
      <w:proofErr w:type="gramStart"/>
      <w:r w:rsidRPr="00F06EA8">
        <w:rPr>
          <w:rFonts w:ascii="仿宋_GB2312" w:eastAsia="仿宋_GB2312" w:hAnsi="Helvetica" w:cs="Helvetica" w:hint="eastAsia"/>
          <w:color w:val="333333"/>
          <w:kern w:val="0"/>
          <w:sz w:val="32"/>
          <w:szCs w:val="32"/>
        </w:rPr>
        <w:t>链部署</w:t>
      </w:r>
      <w:proofErr w:type="gramEnd"/>
      <w:r w:rsidRPr="00F06EA8">
        <w:rPr>
          <w:rFonts w:ascii="仿宋_GB2312" w:eastAsia="仿宋_GB2312" w:hAnsi="Helvetica" w:cs="Helvetica" w:hint="eastAsia"/>
          <w:color w:val="333333"/>
          <w:kern w:val="0"/>
          <w:sz w:val="32"/>
          <w:szCs w:val="32"/>
        </w:rPr>
        <w:t>创新链、围绕创新链布局产业链，强化企业创新主体地位，引导企业、高校、科研机构协同创新，加强联合研发攻关和产业化应用。创新科研激励政策，完善人才引进、培养和储备机制，全面加强专业能源科研队伍建设。推进新能源云等数</w:t>
      </w:r>
      <w:r w:rsidRPr="00F06EA8">
        <w:rPr>
          <w:rFonts w:ascii="仿宋_GB2312" w:eastAsia="仿宋_GB2312" w:hAnsi="Helvetica" w:cs="Helvetica" w:hint="eastAsia"/>
          <w:color w:val="333333"/>
          <w:kern w:val="0"/>
          <w:sz w:val="32"/>
          <w:szCs w:val="32"/>
        </w:rPr>
        <w:lastRenderedPageBreak/>
        <w:t>字平台建设，逐步完善能源领域碳排放监测管控，为能源低碳发展注入数字动能。</w:t>
      </w:r>
    </w:p>
    <w:p w14:paraId="3949E19F"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楷体_GB2312" w:eastAsia="楷体_GB2312" w:hAnsi="Helvetica" w:cs="Helvetica" w:hint="eastAsia"/>
          <w:color w:val="333333"/>
          <w:kern w:val="0"/>
          <w:sz w:val="32"/>
          <w:szCs w:val="32"/>
        </w:rPr>
        <w:t>（五）强化监督管理。</w:t>
      </w:r>
      <w:r w:rsidRPr="00F06EA8">
        <w:rPr>
          <w:rFonts w:ascii="仿宋_GB2312" w:eastAsia="仿宋_GB2312" w:hAnsi="Helvetica" w:cs="Helvetica" w:hint="eastAsia"/>
          <w:color w:val="333333"/>
          <w:kern w:val="0"/>
          <w:sz w:val="32"/>
          <w:szCs w:val="32"/>
        </w:rPr>
        <w:t>加强监督考核，强化专项监管，完善长期监测、滚动调整和动态评估机制，对规划落实情况进行监测分析和中期评估，按规定程序适时进行调整。建立高效透明的规划实施监管体系，重点监管发展目标、重点任务落实情况，及时协调解决突出问题，实施闭环管理，确保各项任务落实到位。完善公众参与机制，加强信息公开，引导公众参与规划贯彻落实的全过程，提高规划推进、独立监督、科学管理、民主决策的水平。</w:t>
      </w:r>
    </w:p>
    <w:p w14:paraId="62616162" w14:textId="77777777" w:rsidR="00F06EA8" w:rsidRPr="00F06EA8" w:rsidRDefault="00F06EA8" w:rsidP="00F06EA8">
      <w:pPr>
        <w:widowControl/>
        <w:shd w:val="clear" w:color="auto" w:fill="FFFFFF"/>
        <w:spacing w:line="555" w:lineRule="atLeast"/>
        <w:ind w:firstLine="645"/>
        <w:jc w:val="left"/>
        <w:rPr>
          <w:rFonts w:ascii="Helvetica" w:eastAsia="宋体" w:hAnsi="Helvetica" w:cs="Helvetica"/>
          <w:color w:val="333333"/>
          <w:kern w:val="0"/>
          <w:sz w:val="24"/>
          <w:szCs w:val="24"/>
        </w:rPr>
      </w:pPr>
      <w:r w:rsidRPr="00F06EA8">
        <w:rPr>
          <w:rFonts w:ascii="楷体_GB2312" w:eastAsia="楷体_GB2312" w:hAnsi="Helvetica" w:cs="Helvetica" w:hint="eastAsia"/>
          <w:color w:val="333333"/>
          <w:kern w:val="0"/>
          <w:sz w:val="32"/>
          <w:szCs w:val="32"/>
        </w:rPr>
        <w:t>（六）加大舆论宣传。</w:t>
      </w:r>
      <w:r w:rsidRPr="00F06EA8">
        <w:rPr>
          <w:rFonts w:ascii="仿宋_GB2312" w:eastAsia="仿宋_GB2312" w:hAnsi="Helvetica" w:cs="Helvetica" w:hint="eastAsia"/>
          <w:color w:val="333333"/>
          <w:kern w:val="0"/>
          <w:sz w:val="32"/>
          <w:szCs w:val="32"/>
        </w:rPr>
        <w:t>各区（市）、各部门要动员全社会力量，开展形式多样的规划宣传，加强新闻宣传、政策解读和教育普及，准确阐述规划的指导思想，把“创新、协调、绿色、开放、共享”的新发展理念融入能源安全新战略加以推广、弘扬。积极选树典型案例，总结推广经验做法。积极营造浓厚、持久的社会氛围，推动形成社会共识和自觉意识，不断把能源高质量发展推向深入。</w:t>
      </w:r>
    </w:p>
    <w:p w14:paraId="60F90185" w14:textId="77777777" w:rsidR="00BB0E34" w:rsidRDefault="00BB0E34"/>
    <w:sectPr w:rsidR="00BB0E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34"/>
    <w:rsid w:val="00BB0E34"/>
    <w:rsid w:val="00F06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EFF2B-385B-4A6E-A770-8828A82E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6E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06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2899</Words>
  <Characters>16529</Characters>
  <Application>Microsoft Office Word</Application>
  <DocSecurity>0</DocSecurity>
  <Lines>137</Lines>
  <Paragraphs>38</Paragraphs>
  <ScaleCrop>false</ScaleCrop>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zhangl</dc:creator>
  <cp:keywords/>
  <dc:description/>
  <cp:lastModifiedBy>zhangl</cp:lastModifiedBy>
  <cp:revision>3</cp:revision>
  <dcterms:created xsi:type="dcterms:W3CDTF">2022-02-22T02:52:00Z</dcterms:created>
  <dcterms:modified xsi:type="dcterms:W3CDTF">2022-02-22T02:52:00Z</dcterms:modified>
</cp:coreProperties>
</file>